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0" w:type="dxa"/>
        <w:tblLayout w:type="fixed"/>
        <w:tblCellMar>
          <w:top w:w="0" w:type="dxa"/>
          <w:left w:w="108" w:type="dxa"/>
          <w:bottom w:w="0" w:type="dxa"/>
          <w:right w:w="108" w:type="dxa"/>
        </w:tblCellMar>
        <w:tblLook w:val="00a0"/>
      </w:tblPr>
      <w:tblGrid>
        <w:gridCol w:w="7653"/>
      </w:tblGrid>
      <w:tr>
        <w:trPr/>
        <w:tc>
          <w:tcPr>
            <w:tcW w:w="7653" w:type="dxa"/>
            <w:tcBorders/>
          </w:tcPr>
          <w:p>
            <w:pPr>
              <w:pStyle w:val="Normal"/>
              <w:widowControl w:val="false"/>
              <w:spacing w:before="60" w:after="0"/>
              <w:rPr/>
            </w:pPr>
            <w:r>
              <w:rPr/>
            </w:r>
          </w:p>
        </w:tc>
      </w:tr>
      <w:tr>
        <w:trPr/>
        <w:tc>
          <w:tcPr>
            <w:tcW w:w="7653" w:type="dxa"/>
            <w:tcBorders>
              <w:bottom w:val="single" w:sz="4" w:space="0" w:color="00B0F0"/>
            </w:tcBorders>
          </w:tcPr>
          <w:p>
            <w:pPr>
              <w:pStyle w:val="Titolettoalto"/>
              <w:widowControl w:val="false"/>
              <w:spacing w:before="240" w:after="180"/>
              <w:rPr/>
            </w:pPr>
            <w:r>
              <w:rPr/>
              <w:t>UFFICIO STUDI E STATISTICA</w:t>
            </w:r>
          </w:p>
        </w:tc>
      </w:tr>
      <w:tr>
        <w:trPr/>
        <w:tc>
          <w:tcPr>
            <w:tcW w:w="7653" w:type="dxa"/>
            <w:tcBorders>
              <w:top w:val="single" w:sz="4" w:space="0" w:color="00B0F0"/>
            </w:tcBorders>
          </w:tcPr>
          <w:p>
            <w:pPr>
              <w:pStyle w:val="Normal"/>
              <w:widowControl w:val="false"/>
              <w:spacing w:before="60" w:after="0"/>
              <w:rPr/>
            </w:pPr>
            <w:r>
              <w:rPr/>
            </w:r>
          </w:p>
        </w:tc>
      </w:tr>
      <w:tr>
        <w:trPr/>
        <w:tc>
          <w:tcPr>
            <w:tcW w:w="7653" w:type="dxa"/>
            <w:tcBorders/>
          </w:tcPr>
          <w:p>
            <w:pPr>
              <w:pStyle w:val="Normal"/>
              <w:widowControl w:val="false"/>
              <w:spacing w:before="60" w:after="0"/>
              <w:rPr/>
            </w:pPr>
            <w:r>
              <w:rPr/>
            </w:r>
          </w:p>
        </w:tc>
      </w:tr>
      <w:tr>
        <w:trPr/>
        <w:tc>
          <w:tcPr>
            <w:tcW w:w="7653" w:type="dxa"/>
            <w:tcBorders/>
          </w:tcPr>
          <w:p>
            <w:pPr>
              <w:pStyle w:val="Normal"/>
              <w:widowControl w:val="false"/>
              <w:spacing w:before="60" w:after="0"/>
              <w:rPr/>
            </w:pPr>
            <w:r>
              <w:rPr/>
            </w:r>
          </w:p>
        </w:tc>
      </w:tr>
      <w:tr>
        <w:trPr/>
        <w:tc>
          <w:tcPr>
            <w:tcW w:w="7653" w:type="dxa"/>
            <w:tcBorders/>
          </w:tcPr>
          <w:p>
            <w:pPr>
              <w:pStyle w:val="Normal"/>
              <w:widowControl w:val="false"/>
              <w:spacing w:before="60" w:after="0"/>
              <w:rPr/>
            </w:pPr>
            <w:r>
              <w:rPr/>
            </w:r>
          </w:p>
        </w:tc>
      </w:tr>
      <w:tr>
        <w:trPr/>
        <w:tc>
          <w:tcPr>
            <w:tcW w:w="7653" w:type="dxa"/>
            <w:tcBorders/>
          </w:tcPr>
          <w:p>
            <w:pPr>
              <w:pStyle w:val="Normal"/>
              <w:widowControl w:val="false"/>
              <w:spacing w:before="60" w:after="0"/>
              <w:rPr/>
            </w:pPr>
            <w:r>
              <w:rPr/>
            </w:r>
          </w:p>
        </w:tc>
      </w:tr>
      <w:tr>
        <w:trPr/>
        <w:tc>
          <w:tcPr>
            <w:tcW w:w="7653" w:type="dxa"/>
            <w:tcBorders/>
          </w:tcPr>
          <w:p>
            <w:pPr>
              <w:pStyle w:val="Normal"/>
              <w:widowControl w:val="false"/>
              <w:spacing w:before="60" w:after="0"/>
              <w:rPr/>
            </w:pPr>
            <w:r>
              <w:rPr/>
            </w:r>
          </w:p>
        </w:tc>
      </w:tr>
      <w:tr>
        <w:trPr/>
        <w:tc>
          <w:tcPr>
            <w:tcW w:w="7653" w:type="dxa"/>
            <w:tcBorders>
              <w:bottom w:val="single" w:sz="4" w:space="0" w:color="00B0F0"/>
            </w:tcBorders>
          </w:tcPr>
          <w:p>
            <w:pPr>
              <w:pStyle w:val="Titolocentrale"/>
              <w:widowControl w:val="false"/>
              <w:spacing w:before="120" w:after="180"/>
              <w:rPr/>
            </w:pPr>
            <w:r>
              <w:rPr/>
              <w:t>Il settore agroalimentare nelle Marche</w:t>
            </w:r>
          </w:p>
        </w:tc>
      </w:tr>
      <w:tr>
        <w:trPr/>
        <w:tc>
          <w:tcPr>
            <w:tcW w:w="7653" w:type="dxa"/>
            <w:tcBorders>
              <w:top w:val="single" w:sz="4" w:space="0" w:color="00B0F0"/>
            </w:tcBorders>
          </w:tcPr>
          <w:p>
            <w:pPr>
              <w:pStyle w:val="Normal"/>
              <w:widowControl w:val="false"/>
              <w:spacing w:before="60" w:after="0"/>
              <w:rPr/>
            </w:pPr>
            <w:r>
              <w:rPr/>
            </w:r>
          </w:p>
        </w:tc>
      </w:tr>
      <w:tr>
        <w:trPr/>
        <w:tc>
          <w:tcPr>
            <w:tcW w:w="7653" w:type="dxa"/>
            <w:tcBorders/>
          </w:tcPr>
          <w:p>
            <w:pPr>
              <w:pStyle w:val="Normal"/>
              <w:widowControl w:val="false"/>
              <w:spacing w:before="60" w:after="0"/>
              <w:rPr/>
            </w:pPr>
            <w:r>
              <w:rPr/>
            </w:r>
          </w:p>
        </w:tc>
      </w:tr>
      <w:tr>
        <w:trPr/>
        <w:tc>
          <w:tcPr>
            <w:tcW w:w="7653" w:type="dxa"/>
            <w:tcBorders/>
          </w:tcPr>
          <w:p>
            <w:pPr>
              <w:pStyle w:val="Normal"/>
              <w:widowControl w:val="false"/>
              <w:spacing w:before="60" w:after="0"/>
              <w:jc w:val="left"/>
              <w:rPr/>
            </w:pPr>
            <w:r>
              <w:rPr/>
              <w:t xml:space="preserve">                      </w:t>
            </w:r>
            <w:r>
              <w:rPr/>
              <w:t>Aggiornamento Settembre 2022</w:t>
            </w:r>
          </w:p>
        </w:tc>
      </w:tr>
      <w:tr>
        <w:trPr/>
        <w:tc>
          <w:tcPr>
            <w:tcW w:w="7653" w:type="dxa"/>
            <w:tcBorders>
              <w:bottom w:val="single" w:sz="4" w:space="0" w:color="00B0F0"/>
            </w:tcBorders>
          </w:tcPr>
          <w:p>
            <w:pPr>
              <w:pStyle w:val="Sottotitolo"/>
              <w:widowControl w:val="false"/>
              <w:spacing w:before="120" w:after="180"/>
              <w:rPr/>
            </w:pPr>
            <w:r>
              <w:rPr/>
            </w:r>
          </w:p>
          <w:p>
            <w:pPr>
              <w:pStyle w:val="Sottotitolo"/>
              <w:widowControl w:val="false"/>
              <w:rPr/>
            </w:pPr>
            <w:r>
              <w:rPr/>
            </w:r>
          </w:p>
          <w:p>
            <w:pPr>
              <w:pStyle w:val="Sottotitolo"/>
              <w:widowControl w:val="false"/>
              <w:rPr/>
            </w:pPr>
            <w:r>
              <w:rPr/>
            </w:r>
          </w:p>
          <w:p>
            <w:pPr>
              <w:pStyle w:val="Sottotitolo"/>
              <w:widowControl w:val="false"/>
              <w:spacing w:before="120" w:after="180"/>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inline distT="0" distB="0" distL="0" distR="0">
            <wp:extent cx="3324225" cy="62928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2"/>
                    <a:stretch>
                      <a:fillRect/>
                    </a:stretch>
                  </pic:blipFill>
                  <pic:spPr bwMode="auto">
                    <a:xfrm>
                      <a:off x="0" y="0"/>
                      <a:ext cx="3324225" cy="629285"/>
                    </a:xfrm>
                    <a:prstGeom prst="rect">
                      <a:avLst/>
                    </a:prstGeom>
                  </pic:spPr>
                </pic:pic>
              </a:graphicData>
            </a:graphic>
          </wp:inline>
        </w:drawing>
      </w:r>
    </w:p>
    <w:p>
      <w:pPr>
        <w:pStyle w:val="Normal"/>
        <w:rPr/>
      </w:pPr>
      <w:r>
        <w:rPr/>
      </w:r>
    </w:p>
    <w:p>
      <w:pPr>
        <w:sectPr>
          <w:headerReference w:type="default" r:id="rId3"/>
          <w:type w:val="nextPage"/>
          <w:pgSz w:w="11906" w:h="16838"/>
          <w:pgMar w:left="3119" w:right="1134" w:gutter="0" w:header="2722" w:top="3012" w:footer="0" w:bottom="1134"/>
          <w:pgNumType w:fmt="decimal"/>
          <w:formProt w:val="false"/>
          <w:textDirection w:val="lrTb"/>
          <w:docGrid w:type="default" w:linePitch="100" w:charSpace="16384"/>
        </w:sectPr>
        <w:pStyle w:val="Normal"/>
        <w:spacing w:before="0" w:after="0"/>
        <w:jc w:val="left"/>
        <w:rPr/>
      </w:pPr>
      <w:r>
        <w:rPr/>
      </w:r>
      <w:r>
        <w:br w:type="page"/>
      </w:r>
    </w:p>
    <w:p>
      <w:pPr>
        <w:pStyle w:val="Titolo1"/>
        <w:numPr>
          <w:ilvl w:val="0"/>
          <w:numId w:val="2"/>
        </w:numPr>
        <w:rPr/>
      </w:pPr>
      <w:r>
        <w:rPr/>
        <w:t>Il settore agroalimentare nelle Marche</w:t>
      </w:r>
    </w:p>
    <w:p>
      <w:pPr>
        <w:pStyle w:val="Titolo2"/>
        <w:numPr>
          <w:ilvl w:val="1"/>
          <w:numId w:val="7"/>
        </w:numPr>
        <w:ind w:left="0" w:hanging="0"/>
        <w:rPr/>
      </w:pPr>
      <w:r>
        <w:rPr/>
        <w:t>Le esportazioni del settore agroalimentare marchigiano</w:t>
      </w:r>
    </w:p>
    <w:p>
      <w:pPr>
        <w:pStyle w:val="Normal"/>
        <w:rPr/>
      </w:pPr>
      <w:r>
        <w:rPr/>
        <w:t>Nel 2021 (dati provvisori) le Marche hanno esportato prodotti agroalimentari per un valore pari a 452,9 milioni di euro, raggiungendo un punto di massimo nelle serie storica a prezzi correnti degli ultimi anni. Rispetto al valore (definitivo in questo caso) dell’anno precedente, l’incremento percentuale è del +6,6% (era stato appena +0,6% quello del 2020</w:t>
      </w:r>
      <w:r>
        <w:rPr>
          <w:rStyle w:val="Richiamoallanotaapidipagina"/>
        </w:rPr>
        <w:footnoteReference w:id="2"/>
      </w:r>
      <w:r>
        <w:rPr/>
        <w:t>). Il settore agroalimentare si distingue così rispetto all’andamento complessivo delle vendite all’estero marchigiane, le quali nel 2020 avevano invece subìto una perdita dell’11,2 %, per poi tornare a crescere marcatamente nel 2021 (+15,6%).</w:t>
      </w:r>
    </w:p>
    <w:p>
      <w:pPr>
        <w:pStyle w:val="Normal"/>
        <w:rPr/>
      </w:pPr>
      <w:r>
        <w:rPr/>
        <w:t>Per l’Italia il settore ha fatto rilevare nel 2021 una crescita più intensa (+</w:t>
      </w:r>
      <w:r>
        <w:rPr>
          <w:color w:val="000000"/>
        </w:rPr>
        <w:t>11,1</w:t>
      </w:r>
      <w:r>
        <w:rPr/>
        <w:t xml:space="preserve">%) di quella regionale, anche in questo caso a fronte di una più rapida crescita delle esportazioni totali (+18,2%). </w:t>
      </w:r>
    </w:p>
    <w:p>
      <w:pPr>
        <w:pStyle w:val="Normal"/>
        <w:rPr>
          <w:shd w:fill="FFFF00" w:val="clear"/>
        </w:rPr>
      </w:pPr>
      <w:r>
        <w:rPr>
          <w:shd w:fill="FFFF00" w:val="clear"/>
        </w:rPr>
      </w:r>
    </w:p>
    <w:p>
      <w:pPr>
        <w:pStyle w:val="Normal"/>
        <w:spacing w:before="0" w:after="0"/>
        <w:rPr>
          <w:b/>
          <w:b/>
          <w:bCs/>
        </w:rPr>
      </w:pPr>
      <w:r>
        <w:rPr>
          <w:b/>
          <w:bCs/>
        </w:rPr>
        <w:t>Marche – Esportazioni di prodotti agroalimentari, anni 2021 (provvisorio) e 2020</w:t>
      </w:r>
    </w:p>
    <w:p>
      <w:pPr>
        <w:pStyle w:val="Normal"/>
        <w:spacing w:before="0" w:after="0"/>
        <w:rPr/>
      </w:pPr>
      <w:r>
        <w:rPr/>
        <w:t>Valori assoluti in euro e variazione percentuale</w:t>
      </w:r>
    </w:p>
    <w:tbl>
      <w:tblPr>
        <w:tblStyle w:val="Grigliatabella"/>
        <w:tblW w:w="8073" w:type="dxa"/>
        <w:jc w:val="left"/>
        <w:tblInd w:w="0" w:type="dxa"/>
        <w:tblLayout w:type="fixed"/>
        <w:tblCellMar>
          <w:top w:w="0" w:type="dxa"/>
          <w:left w:w="108" w:type="dxa"/>
          <w:bottom w:w="0" w:type="dxa"/>
          <w:right w:w="108" w:type="dxa"/>
        </w:tblCellMar>
        <w:tblLook w:val="04a0"/>
      </w:tblPr>
      <w:tblGrid>
        <w:gridCol w:w="4219"/>
        <w:gridCol w:w="1122"/>
        <w:gridCol w:w="1374"/>
        <w:gridCol w:w="1357"/>
      </w:tblGrid>
      <w:tr>
        <w:trPr/>
        <w:tc>
          <w:tcPr>
            <w:tcW w:w="4219" w:type="dxa"/>
            <w:tcBorders/>
            <w:vAlign w:val="center"/>
          </w:tcPr>
          <w:p>
            <w:pPr>
              <w:pStyle w:val="Normal"/>
              <w:widowControl w:val="false"/>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1122"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2020</w:t>
            </w:r>
          </w:p>
        </w:tc>
        <w:tc>
          <w:tcPr>
            <w:tcW w:w="1374"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2021 provvisorio</w:t>
            </w:r>
          </w:p>
        </w:tc>
        <w:tc>
          <w:tcPr>
            <w:tcW w:w="1357"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Var. % 2021/2020</w:t>
            </w:r>
          </w:p>
        </w:tc>
      </w:tr>
      <w:tr>
        <w:trPr/>
        <w:tc>
          <w:tcPr>
            <w:tcW w:w="4219"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Prodotti dell'agricoltura, della silvicoltura e della pesca</w:t>
            </w:r>
          </w:p>
        </w:tc>
        <w:tc>
          <w:tcPr>
            <w:tcW w:w="1122"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111.653.843</w:t>
            </w:r>
          </w:p>
        </w:tc>
        <w:tc>
          <w:tcPr>
            <w:tcW w:w="1374"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114.528.808</w:t>
            </w:r>
          </w:p>
        </w:tc>
        <w:tc>
          <w:tcPr>
            <w:tcW w:w="1357"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2,6%</w:t>
            </w:r>
          </w:p>
        </w:tc>
      </w:tr>
      <w:tr>
        <w:trPr/>
        <w:tc>
          <w:tcPr>
            <w:tcW w:w="4219"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Prodotti alimentari, bevande e tabacco</w:t>
            </w:r>
          </w:p>
        </w:tc>
        <w:tc>
          <w:tcPr>
            <w:tcW w:w="1122"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313.312.993</w:t>
            </w:r>
          </w:p>
        </w:tc>
        <w:tc>
          <w:tcPr>
            <w:tcW w:w="1374"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338.355.222</w:t>
            </w:r>
          </w:p>
        </w:tc>
        <w:tc>
          <w:tcPr>
            <w:tcW w:w="1357"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8,0%</w:t>
            </w:r>
          </w:p>
        </w:tc>
      </w:tr>
      <w:tr>
        <w:trPr/>
        <w:tc>
          <w:tcPr>
            <w:tcW w:w="4219" w:type="dxa"/>
            <w:tcBorders/>
            <w:vAlign w:val="center"/>
          </w:tcPr>
          <w:p>
            <w:pPr>
              <w:pStyle w:val="Normal"/>
              <w:widowControl w:val="false"/>
              <w:suppressAutoHyphens w:val="true"/>
              <w:spacing w:before="60" w:after="0"/>
              <w:rPr>
                <w:rFonts w:cs="Arial"/>
                <w:b/>
                <w:b/>
                <w:bCs/>
                <w:color w:val="000000"/>
                <w:sz w:val="16"/>
                <w:szCs w:val="16"/>
              </w:rPr>
            </w:pPr>
            <w:r>
              <w:rPr>
                <w:rFonts w:eastAsia="Cambria" w:cs="Arial"/>
                <w:b/>
                <w:bCs/>
                <w:color w:val="000000"/>
                <w:kern w:val="0"/>
                <w:sz w:val="16"/>
                <w:szCs w:val="16"/>
                <w:lang w:val="it-IT" w:bidi="ar-SA"/>
              </w:rPr>
              <w:t>Totale agroalimentare</w:t>
            </w:r>
          </w:p>
        </w:tc>
        <w:tc>
          <w:tcPr>
            <w:tcW w:w="1122"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424.966.836</w:t>
            </w:r>
          </w:p>
        </w:tc>
        <w:tc>
          <w:tcPr>
            <w:tcW w:w="1374"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452.884.030</w:t>
            </w:r>
          </w:p>
        </w:tc>
        <w:tc>
          <w:tcPr>
            <w:tcW w:w="1357"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6,6%</w:t>
            </w:r>
          </w:p>
        </w:tc>
      </w:tr>
    </w:tbl>
    <w:p>
      <w:pPr>
        <w:pStyle w:val="Normal"/>
        <w:spacing w:before="0" w:after="0"/>
        <w:rPr>
          <w:sz w:val="16"/>
          <w:szCs w:val="16"/>
        </w:rPr>
      </w:pPr>
      <w:r>
        <w:rPr>
          <w:sz w:val="16"/>
          <w:szCs w:val="16"/>
        </w:rPr>
        <w:t>Fonte: Istat, Coeweb</w:t>
      </w:r>
    </w:p>
    <w:p>
      <w:pPr>
        <w:pStyle w:val="Normal"/>
        <w:spacing w:before="0" w:after="0"/>
        <w:rPr>
          <w:sz w:val="16"/>
          <w:szCs w:val="16"/>
        </w:rPr>
      </w:pPr>
      <w:r>
        <w:rPr>
          <w:sz w:val="16"/>
          <w:szCs w:val="16"/>
        </w:rPr>
        <w:t>Elaborazione: Ufficio Studi e statistica, Camera di Commercio delle Marche</w:t>
      </w:r>
    </w:p>
    <w:p>
      <w:pPr>
        <w:pStyle w:val="Normal"/>
        <w:spacing w:before="0" w:after="0"/>
        <w:rPr>
          <w:sz w:val="16"/>
          <w:szCs w:val="16"/>
        </w:rPr>
      </w:pPr>
      <w:r>
        <w:rPr>
          <w:sz w:val="16"/>
          <w:szCs w:val="16"/>
        </w:rPr>
      </w:r>
    </w:p>
    <w:p>
      <w:pPr>
        <w:pStyle w:val="Normal"/>
        <w:spacing w:before="0" w:after="0"/>
        <w:rPr/>
      </w:pPr>
      <w:r>
        <w:rPr>
          <w:b/>
        </w:rPr>
        <w:t xml:space="preserve">Marche – Esportazioni di prodotti agroalimentari per provincia, </w:t>
      </w:r>
      <w:r>
        <w:rPr>
          <w:b/>
          <w:bCs/>
        </w:rPr>
        <w:t>anni 2021 (provvisorio) e 2020</w:t>
      </w:r>
    </w:p>
    <w:p>
      <w:pPr>
        <w:pStyle w:val="Normal"/>
        <w:spacing w:before="0" w:after="0"/>
        <w:rPr/>
      </w:pPr>
      <w:r>
        <w:rPr/>
        <w:t>Valori assoluti in euro e variazione percentuale</w:t>
      </w:r>
    </w:p>
    <w:tbl>
      <w:tblPr>
        <w:tblStyle w:val="Grigliatabella"/>
        <w:tblW w:w="7546" w:type="dxa"/>
        <w:jc w:val="left"/>
        <w:tblInd w:w="0" w:type="dxa"/>
        <w:tblLayout w:type="fixed"/>
        <w:tblCellMar>
          <w:top w:w="0" w:type="dxa"/>
          <w:left w:w="108" w:type="dxa"/>
          <w:bottom w:w="0" w:type="dxa"/>
          <w:right w:w="108" w:type="dxa"/>
        </w:tblCellMar>
        <w:tblLook w:val="04a0"/>
      </w:tblPr>
      <w:tblGrid>
        <w:gridCol w:w="2442"/>
        <w:gridCol w:w="1703"/>
        <w:gridCol w:w="1700"/>
        <w:gridCol w:w="1700"/>
      </w:tblGrid>
      <w:tr>
        <w:trPr/>
        <w:tc>
          <w:tcPr>
            <w:tcW w:w="2442" w:type="dxa"/>
            <w:tcBorders/>
          </w:tcPr>
          <w:p>
            <w:pPr>
              <w:pStyle w:val="Normal"/>
              <w:widowControl w:val="false"/>
              <w:suppressAutoHyphens w:val="true"/>
              <w:spacing w:before="0" w:after="0"/>
              <w:rPr>
                <w:b/>
                <w:b/>
                <w:highlight w:val="yellow"/>
              </w:rPr>
            </w:pPr>
            <w:r>
              <w:rPr>
                <w:rFonts w:eastAsia="Cambria" w:cs="Times New Roman"/>
                <w:b/>
                <w:kern w:val="0"/>
                <w:sz w:val="20"/>
                <w:highlight w:val="yellow"/>
                <w:lang w:val="it-IT" w:bidi="ar-SA"/>
              </w:rPr>
            </w:r>
          </w:p>
        </w:tc>
        <w:tc>
          <w:tcPr>
            <w:tcW w:w="1703"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2020</w:t>
            </w:r>
          </w:p>
        </w:tc>
        <w:tc>
          <w:tcPr>
            <w:tcW w:w="1700"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2021 provvisorio</w:t>
            </w:r>
          </w:p>
        </w:tc>
        <w:tc>
          <w:tcPr>
            <w:tcW w:w="1700"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Var. % 2021/2020</w:t>
            </w:r>
          </w:p>
        </w:tc>
      </w:tr>
      <w:tr>
        <w:trPr/>
        <w:tc>
          <w:tcPr>
            <w:tcW w:w="2442" w:type="dxa"/>
            <w:tcBorders/>
            <w:vAlign w:val="center"/>
          </w:tcPr>
          <w:p>
            <w:pPr>
              <w:pStyle w:val="Normal"/>
              <w:widowControl w:val="false"/>
              <w:suppressAutoHyphens w:val="true"/>
              <w:spacing w:before="60" w:after="0"/>
              <w:rPr>
                <w:bCs/>
                <w:color w:val="000000"/>
              </w:rPr>
            </w:pPr>
            <w:r>
              <w:rPr>
                <w:rFonts w:eastAsia="Cambria" w:cs="Arial"/>
                <w:bCs/>
                <w:color w:val="000000"/>
                <w:kern w:val="0"/>
                <w:sz w:val="16"/>
                <w:szCs w:val="16"/>
                <w:lang w:val="it-IT" w:bidi="ar-SA"/>
              </w:rPr>
              <w:t>Pesaro e Urbino</w:t>
            </w:r>
          </w:p>
        </w:tc>
        <w:tc>
          <w:tcPr>
            <w:tcW w:w="1703"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116.595.389</w:t>
            </w:r>
          </w:p>
        </w:tc>
        <w:tc>
          <w:tcPr>
            <w:tcW w:w="1700"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111.916.122</w:t>
            </w:r>
          </w:p>
        </w:tc>
        <w:tc>
          <w:tcPr>
            <w:tcW w:w="1700"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-4,0%</w:t>
            </w:r>
          </w:p>
        </w:tc>
      </w:tr>
      <w:tr>
        <w:trPr/>
        <w:tc>
          <w:tcPr>
            <w:tcW w:w="2442"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Ancona</w:t>
            </w:r>
          </w:p>
        </w:tc>
        <w:tc>
          <w:tcPr>
            <w:tcW w:w="1703"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139.953.558</w:t>
            </w:r>
          </w:p>
        </w:tc>
        <w:tc>
          <w:tcPr>
            <w:tcW w:w="1700"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150.578.518</w:t>
            </w:r>
          </w:p>
        </w:tc>
        <w:tc>
          <w:tcPr>
            <w:tcW w:w="1700"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7,6%</w:t>
            </w:r>
          </w:p>
        </w:tc>
      </w:tr>
      <w:tr>
        <w:trPr/>
        <w:tc>
          <w:tcPr>
            <w:tcW w:w="2442"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Macerata</w:t>
            </w:r>
          </w:p>
        </w:tc>
        <w:tc>
          <w:tcPr>
            <w:tcW w:w="1703"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82.431.454</w:t>
            </w:r>
          </w:p>
        </w:tc>
        <w:tc>
          <w:tcPr>
            <w:tcW w:w="1700"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93.873.082</w:t>
            </w:r>
          </w:p>
        </w:tc>
        <w:tc>
          <w:tcPr>
            <w:tcW w:w="1700"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13,9%</w:t>
            </w:r>
          </w:p>
        </w:tc>
      </w:tr>
      <w:tr>
        <w:trPr/>
        <w:tc>
          <w:tcPr>
            <w:tcW w:w="2442"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Ascoli Piceno</w:t>
            </w:r>
          </w:p>
        </w:tc>
        <w:tc>
          <w:tcPr>
            <w:tcW w:w="1703"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74.560.315</w:t>
            </w:r>
          </w:p>
        </w:tc>
        <w:tc>
          <w:tcPr>
            <w:tcW w:w="1700"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84.466.732</w:t>
            </w:r>
          </w:p>
        </w:tc>
        <w:tc>
          <w:tcPr>
            <w:tcW w:w="1700"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13,3%</w:t>
            </w:r>
          </w:p>
        </w:tc>
      </w:tr>
      <w:tr>
        <w:trPr/>
        <w:tc>
          <w:tcPr>
            <w:tcW w:w="2442"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Fermo</w:t>
            </w:r>
          </w:p>
        </w:tc>
        <w:tc>
          <w:tcPr>
            <w:tcW w:w="1703"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11.426.120</w:t>
            </w:r>
          </w:p>
        </w:tc>
        <w:tc>
          <w:tcPr>
            <w:tcW w:w="1700"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12.049.576</w:t>
            </w:r>
          </w:p>
        </w:tc>
        <w:tc>
          <w:tcPr>
            <w:tcW w:w="1700"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5,5%</w:t>
            </w:r>
          </w:p>
        </w:tc>
      </w:tr>
      <w:tr>
        <w:trPr/>
        <w:tc>
          <w:tcPr>
            <w:tcW w:w="2442" w:type="dxa"/>
            <w:tcBorders/>
            <w:vAlign w:val="center"/>
          </w:tcPr>
          <w:p>
            <w:pPr>
              <w:pStyle w:val="Normal"/>
              <w:widowControl w:val="false"/>
              <w:suppressAutoHyphens w:val="true"/>
              <w:spacing w:before="60" w:after="0"/>
              <w:rPr>
                <w:rFonts w:cs="Arial"/>
                <w:b/>
                <w:b/>
                <w:bCs/>
                <w:color w:val="000000"/>
                <w:sz w:val="16"/>
                <w:szCs w:val="16"/>
              </w:rPr>
            </w:pPr>
            <w:r>
              <w:rPr>
                <w:rFonts w:eastAsia="Cambria" w:cs="Arial"/>
                <w:b/>
                <w:bCs/>
                <w:color w:val="000000"/>
                <w:kern w:val="0"/>
                <w:sz w:val="16"/>
                <w:szCs w:val="16"/>
                <w:lang w:val="it-IT" w:bidi="ar-SA"/>
              </w:rPr>
              <w:t>Marche</w:t>
            </w:r>
          </w:p>
        </w:tc>
        <w:tc>
          <w:tcPr>
            <w:tcW w:w="1703"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424.966.836</w:t>
            </w:r>
          </w:p>
        </w:tc>
        <w:tc>
          <w:tcPr>
            <w:tcW w:w="1700"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452.884.030</w:t>
            </w:r>
          </w:p>
        </w:tc>
        <w:tc>
          <w:tcPr>
            <w:tcW w:w="1700"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6,6%</w:t>
            </w:r>
          </w:p>
        </w:tc>
      </w:tr>
    </w:tbl>
    <w:p>
      <w:pPr>
        <w:pStyle w:val="Normal"/>
        <w:spacing w:before="0" w:after="0"/>
        <w:rPr>
          <w:sz w:val="16"/>
          <w:szCs w:val="16"/>
          <w:highlight w:val="yellow"/>
        </w:rPr>
      </w:pPr>
      <w:r>
        <w:rPr>
          <w:sz w:val="16"/>
          <w:szCs w:val="16"/>
        </w:rPr>
        <w:t>Fonte: Istat, Coeweb</w:t>
      </w:r>
    </w:p>
    <w:p>
      <w:pPr>
        <w:pStyle w:val="Normal"/>
        <w:spacing w:before="0" w:after="0"/>
        <w:rPr>
          <w:sz w:val="16"/>
          <w:szCs w:val="16"/>
        </w:rPr>
      </w:pPr>
      <w:r>
        <w:rPr>
          <w:sz w:val="16"/>
          <w:szCs w:val="16"/>
        </w:rPr>
        <w:t>Elaborazione: Ufficio Studi e statistica, Camera di Commercio delle Marche</w:t>
      </w:r>
    </w:p>
    <w:p>
      <w:pPr>
        <w:pStyle w:val="Normal"/>
        <w:spacing w:before="0" w:after="0"/>
        <w:rPr>
          <w:sz w:val="16"/>
          <w:szCs w:val="16"/>
        </w:rPr>
      </w:pPr>
      <w:r>
        <w:rPr>
          <w:sz w:val="16"/>
          <w:szCs w:val="16"/>
        </w:rPr>
      </w:r>
    </w:p>
    <w:p>
      <w:pPr>
        <w:pStyle w:val="Normal"/>
        <w:spacing w:before="0" w:after="0"/>
        <w:rPr>
          <w:b/>
          <w:b/>
          <w:bCs/>
          <w:sz w:val="16"/>
          <w:szCs w:val="16"/>
        </w:rPr>
      </w:pPr>
      <w:r>
        <w:rPr>
          <w:b/>
          <w:bCs/>
        </w:rPr>
        <w:t>La provincia con il valore maggiore di esportazione agroalimentare si conferma quella di Ancona, con 150,6 milioni di euro nel 2021 (circa un terzo del totale regionale), in incremento su base annua del +7,6%.</w:t>
      </w:r>
      <w:r>
        <w:rPr/>
        <w:t xml:space="preserve"> Tra le altre province, si distinguono per le variazioni tendenziali particolarmente favorevoli quelle di Macerata, con 93,9 milioni di euro, +13,9% la crescita del 2021, e di Ascoli Piceno, con 84,5 milioni di euro e un variazione pari a +13,3%. Positivo è anche l’andamento per la provincia di Fermo (12,0 milioni di euro; +5,5%). Unica a far rilevare invece un decremento è la provincia di Pesaro e Urbino, le cui vendite all’estero di prodotti agroalimentari sono pari a 111,9 milioni di euro, in calo del 4% (negativo era stato anche il 2020, -6,4%)</w:t>
      </w:r>
      <w:r>
        <w:rPr>
          <w:rStyle w:val="Richiamoallanotaapidipagina"/>
        </w:rPr>
        <w:footnoteReference w:id="3"/>
      </w:r>
      <w:r>
        <w:rPr/>
        <w:t>.</w:t>
      </w:r>
    </w:p>
    <w:p>
      <w:pPr>
        <w:pStyle w:val="Normal"/>
        <w:rPr/>
      </w:pPr>
      <w:r>
        <w:rPr/>
        <w:t xml:space="preserve">Prendendo in esame un arco temporale più ampio, </w:t>
      </w:r>
      <w:r>
        <w:rPr>
          <w:b/>
        </w:rPr>
        <w:t>dal 2013 al 2021, le esportazioni agroalimentari marchigiane</w:t>
      </w:r>
      <w:r>
        <w:rPr/>
        <w:t xml:space="preserve">, </w:t>
      </w:r>
      <w:r>
        <w:rPr>
          <w:b/>
        </w:rPr>
        <w:t xml:space="preserve">hanno avuto un trend generalmente espansivo, in particolare negli anni più recenti. </w:t>
      </w:r>
      <w:r>
        <w:rPr/>
        <w:t xml:space="preserve"> Nel 2021 esse superano di oltre il 35% il valore del 2013 (si tratta, è bene ricordarlo, di valori a prezzi correnti). Non si può dire lo stesso per l’andamento delle esportazioni totali della regione, che invece hanno avuto un andamento con maggiore alternanza di fluttuazioni positive e negative, finendo con il collocarsi nel 2021 non molto al di sopra del valore del 2013 (+8,2%).</w:t>
      </w:r>
    </w:p>
    <w:p>
      <w:pPr>
        <w:pStyle w:val="Normal"/>
        <w:rPr/>
      </w:pPr>
      <w:r>
        <w:rPr/>
        <w:t>In termini di incidenza sulle esportazioni totali marchigiane, quelle agroalimentari negli ultimi anni hanno rappresentato una quota attorno al 3% delle esportazioni regionali, con una tendenza crescente, in particolare i dati del 2020, segnati dagli effetti economici della crisi sanitaria, hanno visto crescere tale quota (3,9%) per effetto degli opposti andamenti delle esportazioni agroalimentari (in crescita) e di quelle totali (in marcata diminuzione). Nel 2021 la ripresa delle esportazioni totali riporta tale indice su un sentiero comunque crescente rispetto al periodo pre-crisi: 3,6% il valore del 2021 e 3,5% quello del 2019. Nel 2021 la quota analoga per l’Italia scende al 10,1% (aveva toccato il 10,7% nell’anno dell’esplosione della pandemia), e si mantiene nettamente più elevata di quella marchigiana.</w:t>
      </w:r>
    </w:p>
    <w:p>
      <w:pPr>
        <w:pStyle w:val="Normal"/>
        <w:spacing w:before="0" w:after="0"/>
        <w:rPr>
          <w:rFonts w:cs="Arial"/>
          <w:b/>
          <w:b/>
          <w:bCs/>
        </w:rPr>
      </w:pPr>
      <w:r>
        <w:rPr>
          <w:rFonts w:cs="Arial"/>
          <w:b/>
          <w:bCs/>
        </w:rPr>
      </w:r>
    </w:p>
    <w:p>
      <w:pPr>
        <w:pStyle w:val="Normal"/>
        <w:spacing w:before="0" w:after="0"/>
        <w:rPr>
          <w:rFonts w:cs="Arial"/>
          <w:b/>
          <w:b/>
          <w:bCs/>
        </w:rPr>
      </w:pPr>
      <w:r>
        <w:rPr>
          <w:rFonts w:cs="Arial"/>
          <w:b/>
          <w:bCs/>
        </w:rPr>
        <w:t>Confronto numeri indice delle esportazioni delle Marche del settore agroalimentare e totale export</w:t>
      </w:r>
    </w:p>
    <w:p>
      <w:pPr>
        <w:pStyle w:val="Normal"/>
        <w:spacing w:before="0" w:after="0"/>
        <w:rPr>
          <w:rFonts w:cs="Arial"/>
          <w:bCs/>
        </w:rPr>
      </w:pPr>
      <w:r>
        <w:rPr>
          <w:rFonts w:cs="Arial"/>
          <w:bCs/>
        </w:rPr>
        <w:t>Anni 2013-2021 (anno base 2013=100)</w:t>
      </w:r>
    </w:p>
    <w:p>
      <w:pPr>
        <w:pStyle w:val="Normal"/>
        <w:spacing w:before="0" w:after="0"/>
        <w:rPr>
          <w:lang w:eastAsia="it-IT"/>
        </w:rPr>
      </w:pPr>
      <w:r>
        <w:rPr/>
        <w:drawing>
          <wp:inline distT="0" distB="0" distL="0" distR="0">
            <wp:extent cx="3533775" cy="2237740"/>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4"/>
                    <a:stretch>
                      <a:fillRect/>
                    </a:stretch>
                  </pic:blipFill>
                  <pic:spPr bwMode="auto">
                    <a:xfrm>
                      <a:off x="0" y="0"/>
                      <a:ext cx="3533775" cy="2237740"/>
                    </a:xfrm>
                    <a:prstGeom prst="rect">
                      <a:avLst/>
                    </a:prstGeom>
                  </pic:spPr>
                </pic:pic>
              </a:graphicData>
            </a:graphic>
          </wp:inline>
        </w:drawing>
      </w:r>
    </w:p>
    <w:p>
      <w:pPr>
        <w:pStyle w:val="Normal"/>
        <w:spacing w:before="0" w:after="0"/>
        <w:rPr>
          <w:sz w:val="16"/>
          <w:szCs w:val="16"/>
        </w:rPr>
      </w:pPr>
      <w:r>
        <w:rPr>
          <w:sz w:val="16"/>
          <w:szCs w:val="16"/>
        </w:rPr>
        <w:t>*2021 dati provvisori</w:t>
      </w:r>
    </w:p>
    <w:p>
      <w:pPr>
        <w:pStyle w:val="Normal"/>
        <w:spacing w:before="0" w:after="0"/>
        <w:rPr>
          <w:sz w:val="16"/>
          <w:szCs w:val="16"/>
        </w:rPr>
      </w:pPr>
      <w:r>
        <w:rPr>
          <w:sz w:val="16"/>
          <w:szCs w:val="16"/>
        </w:rPr>
        <w:t>Fonte: Istat, Coeweb</w:t>
      </w:r>
    </w:p>
    <w:p>
      <w:pPr>
        <w:pStyle w:val="Normal"/>
        <w:spacing w:before="0" w:after="0"/>
        <w:rPr>
          <w:sz w:val="16"/>
          <w:szCs w:val="16"/>
        </w:rPr>
      </w:pPr>
      <w:r>
        <w:rPr>
          <w:sz w:val="16"/>
          <w:szCs w:val="16"/>
        </w:rPr>
        <w:t>Elaborazione: Ufficio Studi e statistica, Camera di Commercio delle Marche</w:t>
      </w:r>
    </w:p>
    <w:p>
      <w:pPr>
        <w:pStyle w:val="Titolo2"/>
        <w:numPr>
          <w:ilvl w:val="1"/>
          <w:numId w:val="8"/>
        </w:numPr>
        <w:pBdr>
          <w:bottom w:val="single" w:sz="4" w:space="0" w:color="00B0F0"/>
        </w:pBdr>
        <w:ind w:left="0" w:hanging="0"/>
        <w:rPr/>
      </w:pPr>
      <w:r>
        <w:rPr/>
        <w:t>La composizione merceologica delle esportazioni agroalimentari regionali</w:t>
      </w:r>
    </w:p>
    <w:p>
      <w:pPr>
        <w:pStyle w:val="Normal"/>
        <w:rPr/>
      </w:pPr>
      <w:r>
        <w:rPr/>
        <w:t>Il settore agroalimentare è dato dall’aggregazione dei prodotti dell’agricoltura, della silvicoltura e della pesca e  dei prodotti trasformati dal settore manifatturiero, vale a dire i prodotti alimentari, le bevande e il tabacco.</w:t>
      </w:r>
    </w:p>
    <w:p>
      <w:pPr>
        <w:pStyle w:val="Normal"/>
        <w:rPr/>
      </w:pPr>
      <w:r>
        <w:rPr>
          <w:b/>
        </w:rPr>
        <w:t>Per le Marche l’aggregato maggiore si conferma essere costituito di gran lunga dai prodotti di trasformazione manifatturiera, con un valore nel 2021 di 338,4 milioni di euro</w:t>
      </w:r>
      <w:r>
        <w:rPr/>
        <w:t xml:space="preserve"> a fronte di 114,5 milioni di euro di prodotti dell’agricoltura, della silvicoltura e della pesca. Il primato dei prodotti di trasformazione si è mantenuto, anche se con proporzioni variabili, in tutto l’arco temporale considerato (2013-2021), con quote mediamente un po’ più elevate nel periodo 2018-2021 rispetto al quadriennio precedente.</w:t>
      </w:r>
    </w:p>
    <w:p>
      <w:pPr>
        <w:pStyle w:val="Normal"/>
        <w:rPr/>
      </w:pPr>
      <w:r>
        <w:rPr/>
      </w:r>
    </w:p>
    <w:p>
      <w:pPr>
        <w:pStyle w:val="Normal"/>
        <w:rPr/>
      </w:pPr>
      <w:r>
        <w:rPr>
          <w:b/>
        </w:rPr>
        <w:t>Nel periodo 2013-2018 le esportazioni marchigiane di prodotti del settore primario sono state crescenti nel primi tre anni</w:t>
      </w:r>
      <w:r>
        <w:rPr/>
        <w:t xml:space="preserve">, fino al 2015 anno in cui hanno raggiunto il valore di 142,8 milioni di euro, </w:t>
      </w:r>
      <w:r>
        <w:rPr>
          <w:b/>
        </w:rPr>
        <w:t>mentre nel triennio successivo sono progressivamente diminuite</w:t>
      </w:r>
      <w:r>
        <w:rPr/>
        <w:t xml:space="preserve"> con variazioni annuali negative attorno al -9 / -10%, scendendo fino ai 103,9 milioni di euro del 2018. Il 2019 segna una ripresa delle esportazioni del settore primario (+14,3%), seguita da un calo nel 2020 (-6,0%), per segnare poi una parziale ripresa nel 2021 (+2,6%), che non recupera il valore del 2019.</w:t>
      </w:r>
    </w:p>
    <w:p>
      <w:pPr>
        <w:pStyle w:val="Normal"/>
        <w:rPr/>
      </w:pPr>
      <w:r>
        <w:rPr/>
      </w:r>
    </w:p>
    <w:p>
      <w:pPr>
        <w:pStyle w:val="Normal"/>
        <w:rPr/>
      </w:pPr>
      <w:r>
        <w:rPr>
          <w:b/>
        </w:rPr>
        <w:t>Per i prodotti di trasformazione, invece, dopo una contrazione iniziale del valore del 2014 rispetto al 2013, si avvia un sentiero di continua espansione. Tale trend costantemente favorevole</w:t>
      </w:r>
      <w:r>
        <w:rPr/>
        <w:t>, seppure con intensità variabile, non si è arrestato nemmeno nel 2020 (+3,2%), malgrado un evidente rallentamento, per riprendere con tono più sostenuto nel 2021 (+8,0%), e facendone attestare il valore a 338,4 milioni di euro, suo punto di massimo dell’intero arco temporale considerato.</w:t>
      </w:r>
    </w:p>
    <w:p>
      <w:pPr>
        <w:pStyle w:val="Normal"/>
        <w:rPr/>
      </w:pPr>
      <w:r>
        <w:rPr/>
      </w:r>
    </w:p>
    <w:p>
      <w:pPr>
        <w:pStyle w:val="Normal"/>
        <w:rPr/>
      </w:pPr>
      <w:r>
        <w:rPr/>
      </w:r>
    </w:p>
    <w:p>
      <w:pPr>
        <w:pStyle w:val="Normal"/>
        <w:spacing w:before="0" w:after="0"/>
        <w:rPr>
          <w:b/>
          <w:b/>
        </w:rPr>
      </w:pPr>
      <w:r>
        <w:rPr>
          <w:b/>
        </w:rPr>
        <w:t>Composizione percentuale delle esportazioni agroalimentari delle Marche</w:t>
      </w:r>
    </w:p>
    <w:p>
      <w:pPr>
        <w:pStyle w:val="Normal"/>
        <w:spacing w:before="0" w:after="0"/>
        <w:rPr>
          <w:b/>
          <w:b/>
        </w:rPr>
      </w:pPr>
      <w:r>
        <w:rPr>
          <w:b/>
        </w:rPr>
        <w:t>Anni 2013-2021*</w:t>
      </w:r>
    </w:p>
    <w:p>
      <w:pPr>
        <w:pStyle w:val="Normal"/>
        <w:spacing w:before="0" w:after="0"/>
        <w:rPr>
          <w:lang w:eastAsia="it-IT"/>
        </w:rPr>
      </w:pPr>
      <w:r>
        <w:rPr/>
        <w:drawing>
          <wp:inline distT="0" distB="0" distL="0" distR="0">
            <wp:extent cx="3482340" cy="2384425"/>
            <wp:effectExtent l="0" t="0" r="0" b="0"/>
            <wp:docPr id="4"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
                    <pic:cNvPicPr>
                      <a:picLocks noChangeAspect="1" noChangeArrowheads="1"/>
                    </pic:cNvPicPr>
                  </pic:nvPicPr>
                  <pic:blipFill>
                    <a:blip r:embed="rId5"/>
                    <a:stretch>
                      <a:fillRect/>
                    </a:stretch>
                  </pic:blipFill>
                  <pic:spPr bwMode="auto">
                    <a:xfrm>
                      <a:off x="0" y="0"/>
                      <a:ext cx="3482340" cy="2384425"/>
                    </a:xfrm>
                    <a:prstGeom prst="rect">
                      <a:avLst/>
                    </a:prstGeom>
                  </pic:spPr>
                </pic:pic>
              </a:graphicData>
            </a:graphic>
          </wp:inline>
        </w:drawing>
      </w:r>
    </w:p>
    <w:p>
      <w:pPr>
        <w:pStyle w:val="Normal"/>
        <w:spacing w:before="0" w:after="0"/>
        <w:rPr>
          <w:sz w:val="16"/>
          <w:szCs w:val="16"/>
        </w:rPr>
      </w:pPr>
      <w:r>
        <w:rPr>
          <w:sz w:val="16"/>
          <w:szCs w:val="16"/>
        </w:rPr>
        <w:t>* dati provvisori</w:t>
      </w:r>
    </w:p>
    <w:p>
      <w:pPr>
        <w:pStyle w:val="Normal"/>
        <w:spacing w:before="0" w:after="0"/>
        <w:rPr>
          <w:sz w:val="16"/>
          <w:szCs w:val="16"/>
        </w:rPr>
      </w:pPr>
      <w:r>
        <w:rPr>
          <w:sz w:val="16"/>
          <w:szCs w:val="16"/>
        </w:rPr>
        <w:t>Fonte: Istat, Coeweb</w:t>
      </w:r>
    </w:p>
    <w:p>
      <w:pPr>
        <w:pStyle w:val="Normal"/>
        <w:spacing w:before="0" w:after="0"/>
        <w:rPr>
          <w:sz w:val="16"/>
          <w:szCs w:val="16"/>
        </w:rPr>
      </w:pPr>
      <w:r>
        <w:rPr>
          <w:sz w:val="16"/>
          <w:szCs w:val="16"/>
        </w:rPr>
        <w:t>Elaborazione: Ufficio Studi e statistica, Camera di Commercio delle Marche</w:t>
      </w:r>
    </w:p>
    <w:p>
      <w:pPr>
        <w:pStyle w:val="Normal"/>
        <w:spacing w:before="0" w:after="0"/>
        <w:rPr/>
      </w:pPr>
      <w:r>
        <w:rPr/>
      </w:r>
    </w:p>
    <w:p>
      <w:pPr>
        <w:pStyle w:val="Normal"/>
        <w:rPr/>
      </w:pPr>
      <w:r>
        <w:rPr/>
      </w:r>
    </w:p>
    <w:p>
      <w:pPr>
        <w:pStyle w:val="Normal"/>
        <w:rPr/>
      </w:pPr>
      <w:r>
        <w:rPr/>
        <w:t xml:space="preserve">Le voci di maggiore peso per le Marche, tra i prodotti del settore dell’agricoltura silvicoltura e pesca, sono senza dubbio </w:t>
      </w:r>
      <w:r>
        <w:rPr>
          <w:b/>
        </w:rPr>
        <w:t>i prodotti delle colture agricole non permanenti</w:t>
      </w:r>
      <w:r>
        <w:rPr/>
        <w:t xml:space="preserve">, che ne hanno segnato in buona misura l’andamento complessivo (crescente fino al 2015, poi decrescente fino al 2018). La ripresa del 2019 è stata poi seguita da successivi cali, nel 2020 e nel 2021, anno che fa riscontrare un valore pari a 43,3 milioni di euro, meno della metà del 2016). Di rilievo anche i </w:t>
      </w:r>
      <w:r>
        <w:rPr>
          <w:b/>
        </w:rPr>
        <w:t>prodotti della pesca e dell'acquacoltura</w:t>
      </w:r>
      <w:r>
        <w:rPr/>
        <w:t>, con una tendenza generalmente crescente nel periodo 2016-2021, fatto salvo un calo nel 2019.</w:t>
      </w:r>
    </w:p>
    <w:p>
      <w:pPr>
        <w:pStyle w:val="Normal"/>
        <w:rPr/>
      </w:pPr>
      <w:r>
        <w:rPr/>
        <w:t xml:space="preserve">Queste due voci nel periodo 2013-2021 hanno rappresentato una quota rilevantissima delle esportazioni del  settore primario, e nel 2021 ne costituiscono l’ 87%. </w:t>
      </w:r>
    </w:p>
    <w:p>
      <w:pPr>
        <w:pStyle w:val="Normal"/>
        <w:rPr/>
      </w:pPr>
      <w:r>
        <w:rPr/>
      </w:r>
    </w:p>
    <w:p>
      <w:pPr>
        <w:pStyle w:val="Normal"/>
        <w:rPr/>
      </w:pPr>
      <w:r>
        <w:rPr/>
        <w:t xml:space="preserve">Per quanto riguarda invece i prodotti di trasformazione manifatturiera, le voci di maggior rilievo sono quelle degli </w:t>
      </w:r>
      <w:r>
        <w:rPr>
          <w:b/>
        </w:rPr>
        <w:t xml:space="preserve">altri prodotti alimentari, </w:t>
      </w:r>
      <w:r>
        <w:rPr/>
        <w:t xml:space="preserve">delle </w:t>
      </w:r>
      <w:r>
        <w:rPr>
          <w:b/>
        </w:rPr>
        <w:t>bevande</w:t>
      </w:r>
      <w:r>
        <w:rPr/>
        <w:t xml:space="preserve">, seguite dai </w:t>
      </w:r>
      <w:r>
        <w:rPr>
          <w:b/>
        </w:rPr>
        <w:t>prodotti da forno e farinacei</w:t>
      </w:r>
      <w:r>
        <w:rPr/>
        <w:t xml:space="preserve">, da </w:t>
      </w:r>
      <w:r>
        <w:rPr>
          <w:b/>
        </w:rPr>
        <w:t>frutta e ortaggi lavorati e conservati</w:t>
      </w:r>
      <w:r>
        <w:rPr/>
        <w:t xml:space="preserve">, e da </w:t>
      </w:r>
      <w:r>
        <w:rPr>
          <w:b/>
        </w:rPr>
        <w:t>carne lavorata e conservata e prodotti a base di carne</w:t>
      </w:r>
      <w:r>
        <w:rPr/>
        <w:t>.</w:t>
      </w:r>
    </w:p>
    <w:p>
      <w:pPr>
        <w:pStyle w:val="Normal"/>
        <w:rPr/>
      </w:pPr>
      <w:r>
        <w:rPr/>
      </w:r>
    </w:p>
    <w:p>
      <w:pPr>
        <w:pStyle w:val="Normal"/>
        <w:rPr/>
      </w:pPr>
      <w:r>
        <w:rPr/>
        <w:t>Generalmente essi mostrano un orientamento tendenzialmente espansivo, come gli altri prodotti alimentari (tranne che nel 2020), i prodotti da forno e farinacei (in calo tuttavia nel 2021). Le bevande sono in crescita fino al 2019, per poi abbassarsi nel 2020 e mostrare una parziale ripresa l’anno successivo. Crescente anche l’andamento dei  prodotti ortofrutticoli, tranne che nel 2017 e nel 2020.</w:t>
      </w:r>
    </w:p>
    <w:p>
      <w:pPr>
        <w:pStyle w:val="Normal"/>
        <w:rPr/>
      </w:pPr>
      <w:r>
        <w:rPr/>
        <w:t xml:space="preserve">Più fluttuanti appaiono gli andamenti di carne lavorata e conservata e i prodotti a base di carne, come pure dei prodotti ortofrutticoli, sebbene anch’essi con una tendenza di massima crescente. </w:t>
      </w:r>
    </w:p>
    <w:p>
      <w:pPr>
        <w:pStyle w:val="Normal"/>
        <w:rPr/>
      </w:pPr>
      <w:r>
        <w:rPr/>
        <w:t>Queste cinque voci hanno costituito una quota crescente, dal 73% del 2013 all’87,9% del 2019, delle esportazioni di prodotti di trasformazione manifatturiera del settore, per scendere nel biennio 2020-2021 all’ 83-84%.</w:t>
      </w:r>
    </w:p>
    <w:p>
      <w:pPr>
        <w:pStyle w:val="Normal"/>
        <w:rPr/>
      </w:pPr>
      <w:r>
        <w:rPr/>
      </w:r>
    </w:p>
    <w:p>
      <w:pPr>
        <w:pStyle w:val="Normal"/>
        <w:rPr/>
      </w:pPr>
      <w:r>
        <w:rPr/>
      </w:r>
    </w:p>
    <w:p>
      <w:pPr>
        <w:pStyle w:val="Normal"/>
        <w:rPr/>
      </w:pPr>
      <w:r>
        <w:rPr/>
      </w:r>
    </w:p>
    <w:p>
      <w:pPr>
        <w:pStyle w:val="Normal"/>
        <w:spacing w:before="0" w:after="0"/>
        <w:rPr>
          <w:b/>
          <w:b/>
        </w:rPr>
      </w:pPr>
      <w:r>
        <w:rPr>
          <w:b/>
        </w:rPr>
        <w:t>Esportazioni di prodotti agroalimentari delle Marche, per gruppi di merci</w:t>
      </w:r>
    </w:p>
    <w:p>
      <w:pPr>
        <w:pStyle w:val="Normal"/>
        <w:spacing w:before="0" w:after="0"/>
        <w:rPr/>
      </w:pPr>
      <w:r>
        <w:rPr/>
        <w:t>valori assoluti in euro</w:t>
      </w:r>
    </w:p>
    <w:tbl>
      <w:tblPr>
        <w:tblStyle w:val="Grigliatabella"/>
        <w:tblW w:w="9795" w:type="dxa"/>
        <w:jc w:val="left"/>
        <w:tblInd w:w="0" w:type="dxa"/>
        <w:tblLayout w:type="fixed"/>
        <w:tblCellMar>
          <w:top w:w="0" w:type="dxa"/>
          <w:left w:w="108" w:type="dxa"/>
          <w:bottom w:w="0" w:type="dxa"/>
          <w:right w:w="108" w:type="dxa"/>
        </w:tblCellMar>
        <w:tblLook w:val="04a0"/>
      </w:tblPr>
      <w:tblGrid>
        <w:gridCol w:w="1928"/>
        <w:gridCol w:w="1305"/>
        <w:gridCol w:w="1304"/>
        <w:gridCol w:w="1303"/>
        <w:gridCol w:w="1305"/>
        <w:gridCol w:w="1324"/>
        <w:gridCol w:w="1325"/>
      </w:tblGrid>
      <w:tr>
        <w:trPr/>
        <w:tc>
          <w:tcPr>
            <w:tcW w:w="1928" w:type="dxa"/>
            <w:tcBorders/>
            <w:vAlign w:val="bottom"/>
          </w:tcPr>
          <w:p>
            <w:pPr>
              <w:pStyle w:val="Normal"/>
              <w:widowControl w:val="false"/>
              <w:suppressAutoHyphens w:val="true"/>
              <w:spacing w:before="60" w:after="0"/>
              <w:rPr>
                <w:rFonts w:ascii="Calibri" w:hAnsi="Calibri" w:cs="Calibri"/>
                <w:color w:val="000000"/>
                <w:sz w:val="15"/>
                <w:szCs w:val="15"/>
              </w:rPr>
            </w:pPr>
            <w:r>
              <w:rPr>
                <w:rFonts w:eastAsia="Cambria" w:cs="Calibri" w:ascii="Calibri" w:hAnsi="Calibri"/>
                <w:color w:val="000000"/>
                <w:kern w:val="0"/>
                <w:sz w:val="20"/>
                <w:szCs w:val="15"/>
                <w:lang w:val="it-IT" w:bidi="ar-SA"/>
              </w:rPr>
            </w:r>
          </w:p>
        </w:tc>
        <w:tc>
          <w:tcPr>
            <w:tcW w:w="1305"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2016</w:t>
            </w:r>
          </w:p>
        </w:tc>
        <w:tc>
          <w:tcPr>
            <w:tcW w:w="1304"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2017</w:t>
            </w:r>
          </w:p>
        </w:tc>
        <w:tc>
          <w:tcPr>
            <w:tcW w:w="1303"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2018</w:t>
            </w:r>
          </w:p>
        </w:tc>
        <w:tc>
          <w:tcPr>
            <w:tcW w:w="1305" w:type="dxa"/>
            <w:tcBorders>
              <w:right w:val="nil"/>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2019</w:t>
            </w:r>
          </w:p>
        </w:tc>
        <w:tc>
          <w:tcPr>
            <w:tcW w:w="1324"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2020</w:t>
            </w:r>
          </w:p>
        </w:tc>
        <w:tc>
          <w:tcPr>
            <w:tcW w:w="1325" w:type="dxa"/>
            <w:tcBorders/>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2021*</w:t>
            </w:r>
          </w:p>
        </w:tc>
      </w:tr>
      <w:tr>
        <w:trPr/>
        <w:tc>
          <w:tcPr>
            <w:tcW w:w="1928" w:type="dxa"/>
            <w:tcBorders/>
            <w:vAlign w:val="bottom"/>
          </w:tcPr>
          <w:p>
            <w:pPr>
              <w:pStyle w:val="Normal"/>
              <w:widowControl w:val="false"/>
              <w:suppressAutoHyphens w:val="true"/>
              <w:spacing w:before="60" w:after="0"/>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Prodotti di colture agricole non permanenti</w:t>
            </w:r>
          </w:p>
        </w:tc>
        <w:tc>
          <w:tcPr>
            <w:tcW w:w="1305"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88.130.167</w:t>
            </w:r>
          </w:p>
        </w:tc>
        <w:tc>
          <w:tcPr>
            <w:tcW w:w="1304"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62.646.818</w:t>
            </w:r>
          </w:p>
        </w:tc>
        <w:tc>
          <w:tcPr>
            <w:tcW w:w="1303"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49.584.054</w:t>
            </w:r>
          </w:p>
        </w:tc>
        <w:tc>
          <w:tcPr>
            <w:tcW w:w="1305" w:type="dxa"/>
            <w:tcBorders>
              <w:right w:val="nil"/>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68.606.272</w:t>
            </w:r>
          </w:p>
        </w:tc>
        <w:tc>
          <w:tcPr>
            <w:tcW w:w="1324"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51.952.053</w:t>
            </w:r>
          </w:p>
        </w:tc>
        <w:tc>
          <w:tcPr>
            <w:tcW w:w="1325"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43.286.602</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Prodotti di colture permanenti</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1.395.418</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3.084.661</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3.033.128</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4.085.515</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2.231.749</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4.666.063</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Piante vive</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4.810.973</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6.045.720</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6.240.220</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7.525.660</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7.057.704</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9.448.415</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Animali vivi e prodotti di origine animale</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311.116</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224.877</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608.315</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531.992</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428.237</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378.203</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Piante forestali e altri prodotti della silvicoltura</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237.315</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243.356</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238.729</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288.322</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283.637</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0</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Legno grezzo</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12.700</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58.952</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114.256</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610.068</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885.730</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486.356</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Prodotti vegetali di bosco non legnosi</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45.309</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73.135</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171.728</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102.532</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92.739</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31.388</w:t>
            </w:r>
          </w:p>
        </w:tc>
      </w:tr>
      <w:tr>
        <w:trPr/>
        <w:tc>
          <w:tcPr>
            <w:tcW w:w="1928" w:type="dxa"/>
            <w:tcBorders/>
            <w:vAlign w:val="bottom"/>
          </w:tcPr>
          <w:p>
            <w:pPr>
              <w:pStyle w:val="Normal"/>
              <w:widowControl w:val="false"/>
              <w:suppressAutoHyphens w:val="true"/>
              <w:spacing w:before="60" w:after="0"/>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Pesci e altri prodotti della pesca; prodotti dell'acquacoltura</w:t>
            </w:r>
          </w:p>
        </w:tc>
        <w:tc>
          <w:tcPr>
            <w:tcW w:w="1305"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33.077.674</w:t>
            </w:r>
          </w:p>
        </w:tc>
        <w:tc>
          <w:tcPr>
            <w:tcW w:w="1304"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42.127.496</w:t>
            </w:r>
          </w:p>
        </w:tc>
        <w:tc>
          <w:tcPr>
            <w:tcW w:w="1303"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20"/>
                <w:szCs w:val="15"/>
                <w:lang w:val="it-IT" w:bidi="ar-SA"/>
              </w:rPr>
            </w:r>
          </w:p>
          <w:p>
            <w:pPr>
              <w:pStyle w:val="Normal"/>
              <w:widowControl w:val="false"/>
              <w:suppressAutoHyphens w:val="true"/>
              <w:jc w:val="right"/>
              <w:rPr>
                <w:rFonts w:ascii="Verdana" w:hAnsi="Verdana" w:cs="Calibri"/>
                <w:b/>
                <w:b/>
                <w:bCs/>
                <w:color w:val="000000"/>
                <w:sz w:val="15"/>
                <w:szCs w:val="15"/>
              </w:rPr>
            </w:pPr>
            <w:r>
              <w:rPr>
                <w:rFonts w:eastAsia="Cambria" w:cs="Calibri" w:ascii="Verdana" w:hAnsi="Verdana"/>
                <w:b/>
                <w:bCs/>
                <w:color w:val="000000"/>
                <w:kern w:val="0"/>
                <w:sz w:val="20"/>
                <w:szCs w:val="15"/>
                <w:lang w:val="it-IT" w:bidi="ar-SA"/>
              </w:rPr>
            </w:r>
          </w:p>
          <w:p>
            <w:pPr>
              <w:pStyle w:val="Normal"/>
              <w:widowControl w:val="false"/>
              <w:suppressAutoHyphens w:val="true"/>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43.946.477</w:t>
            </w:r>
          </w:p>
        </w:tc>
        <w:tc>
          <w:tcPr>
            <w:tcW w:w="1305" w:type="dxa"/>
            <w:tcBorders>
              <w:right w:val="nil"/>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37.002.209</w:t>
            </w:r>
          </w:p>
        </w:tc>
        <w:tc>
          <w:tcPr>
            <w:tcW w:w="1324"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48.721.994</w:t>
            </w:r>
          </w:p>
        </w:tc>
        <w:tc>
          <w:tcPr>
            <w:tcW w:w="1325"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56.231.781</w:t>
            </w:r>
          </w:p>
        </w:tc>
      </w:tr>
      <w:tr>
        <w:trPr/>
        <w:tc>
          <w:tcPr>
            <w:tcW w:w="1928" w:type="dxa"/>
            <w:tcBorders/>
            <w:vAlign w:val="bottom"/>
          </w:tcPr>
          <w:p>
            <w:pPr>
              <w:pStyle w:val="Normal"/>
              <w:widowControl w:val="false"/>
              <w:suppressAutoHyphens w:val="true"/>
              <w:spacing w:before="60" w:after="0"/>
              <w:rPr>
                <w:rFonts w:ascii="Verdana" w:hAnsi="Verdana" w:cs="Calibri"/>
                <w:b/>
                <w:b/>
                <w:color w:val="000000"/>
                <w:sz w:val="15"/>
                <w:szCs w:val="15"/>
              </w:rPr>
            </w:pPr>
            <w:r>
              <w:rPr>
                <w:rFonts w:eastAsia="Cambria" w:cs="Calibri" w:ascii="Verdana" w:hAnsi="Verdana"/>
                <w:b/>
                <w:color w:val="000000"/>
                <w:kern w:val="0"/>
                <w:sz w:val="15"/>
                <w:szCs w:val="15"/>
                <w:lang w:val="it-IT" w:bidi="ar-SA"/>
              </w:rPr>
              <w:t>Totale Agricoltura, silvicoltura e pesca</w:t>
            </w:r>
          </w:p>
        </w:tc>
        <w:tc>
          <w:tcPr>
            <w:tcW w:w="1305"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128.020.672</w:t>
            </w:r>
          </w:p>
        </w:tc>
        <w:tc>
          <w:tcPr>
            <w:tcW w:w="1304"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114.505.015</w:t>
            </w:r>
          </w:p>
        </w:tc>
        <w:tc>
          <w:tcPr>
            <w:tcW w:w="1303"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103.936.907</w:t>
            </w:r>
          </w:p>
        </w:tc>
        <w:tc>
          <w:tcPr>
            <w:tcW w:w="1305" w:type="dxa"/>
            <w:tcBorders>
              <w:right w:val="nil"/>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118.752.570</w:t>
            </w:r>
          </w:p>
        </w:tc>
        <w:tc>
          <w:tcPr>
            <w:tcW w:w="1324"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111.653.843</w:t>
            </w:r>
          </w:p>
        </w:tc>
        <w:tc>
          <w:tcPr>
            <w:tcW w:w="1325"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114.528.808</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20"/>
                <w:szCs w:val="15"/>
                <w:lang w:val="it-IT" w:bidi="ar-SA"/>
              </w:rPr>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20"/>
                <w:szCs w:val="15"/>
                <w:lang w:val="it-IT" w:bidi="ar-SA"/>
              </w:rPr>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20"/>
                <w:szCs w:val="15"/>
                <w:lang w:val="it-IT" w:bidi="ar-SA"/>
              </w:rPr>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20"/>
                <w:szCs w:val="15"/>
                <w:lang w:val="it-IT" w:bidi="ar-SA"/>
              </w:rPr>
            </w:r>
          </w:p>
        </w:tc>
        <w:tc>
          <w:tcPr>
            <w:tcW w:w="1305" w:type="dxa"/>
            <w:tcBorders>
              <w:right w:val="nil"/>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20"/>
                <w:szCs w:val="15"/>
                <w:lang w:val="it-IT" w:bidi="ar-SA"/>
              </w:rPr>
            </w:r>
          </w:p>
        </w:tc>
        <w:tc>
          <w:tcPr>
            <w:tcW w:w="1324" w:type="dxa"/>
            <w:tcBorders/>
            <w:vAlign w:val="bottom"/>
          </w:tcPr>
          <w:p>
            <w:pPr>
              <w:pStyle w:val="Contenutotabella"/>
              <w:widowControl/>
              <w:suppressAutoHyphens w:val="true"/>
              <w:spacing w:before="0" w:after="0"/>
              <w:jc w:val="right"/>
              <w:rPr>
                <w:rFonts w:ascii="Verdana" w:hAnsi="Verdana" w:cs="Calibri"/>
                <w:b/>
                <w:b/>
                <w:bCs/>
                <w:color w:val="000000"/>
                <w:sz w:val="15"/>
                <w:szCs w:val="15"/>
              </w:rPr>
            </w:pPr>
            <w:r>
              <w:rPr>
                <w:rFonts w:eastAsia="Cambria" w:cs="Calibri" w:ascii="Verdana" w:hAnsi="Verdana"/>
                <w:b/>
                <w:bCs/>
                <w:color w:val="000000"/>
                <w:kern w:val="0"/>
                <w:sz w:val="20"/>
                <w:szCs w:val="20"/>
                <w:lang w:val="it-IT" w:eastAsia="it-IT" w:bidi="ar-SA"/>
              </w:rPr>
            </w:r>
          </w:p>
        </w:tc>
        <w:tc>
          <w:tcPr>
            <w:tcW w:w="1325" w:type="dxa"/>
            <w:tcBorders/>
          </w:tcPr>
          <w:p>
            <w:pPr>
              <w:pStyle w:val="Contenutotabella"/>
              <w:widowControl/>
              <w:suppressAutoHyphens w:val="true"/>
              <w:spacing w:before="0" w:after="0"/>
              <w:jc w:val="right"/>
              <w:rPr>
                <w:rFonts w:ascii="Verdana" w:hAnsi="Verdana" w:cs="Calibri"/>
                <w:b/>
                <w:b/>
                <w:bCs/>
                <w:color w:val="000000"/>
                <w:sz w:val="15"/>
                <w:szCs w:val="15"/>
              </w:rPr>
            </w:pPr>
            <w:r>
              <w:rPr>
                <w:rFonts w:eastAsia="Cambria" w:cs="Calibri" w:ascii="Verdana" w:hAnsi="Verdana"/>
                <w:b/>
                <w:bCs/>
                <w:color w:val="000000"/>
                <w:kern w:val="0"/>
                <w:sz w:val="20"/>
                <w:szCs w:val="20"/>
                <w:lang w:val="it-IT" w:eastAsia="it-IT" w:bidi="ar-SA"/>
              </w:rPr>
            </w:r>
          </w:p>
        </w:tc>
      </w:tr>
      <w:tr>
        <w:trPr/>
        <w:tc>
          <w:tcPr>
            <w:tcW w:w="1928" w:type="dxa"/>
            <w:tcBorders/>
            <w:vAlign w:val="bottom"/>
          </w:tcPr>
          <w:p>
            <w:pPr>
              <w:pStyle w:val="Normal"/>
              <w:widowControl w:val="false"/>
              <w:suppressAutoHyphens w:val="true"/>
              <w:spacing w:before="60" w:after="0"/>
              <w:rPr>
                <w:rFonts w:ascii="Verdana" w:hAnsi="Verdana" w:cs="Calibri"/>
                <w:b/>
                <w:b/>
                <w:sz w:val="15"/>
                <w:szCs w:val="15"/>
              </w:rPr>
            </w:pPr>
            <w:r>
              <w:rPr>
                <w:rFonts w:eastAsia="Cambria" w:cs="Calibri" w:ascii="Verdana" w:hAnsi="Verdana"/>
                <w:b/>
                <w:kern w:val="0"/>
                <w:sz w:val="15"/>
                <w:szCs w:val="15"/>
                <w:lang w:val="it-IT" w:bidi="ar-SA"/>
              </w:rPr>
              <w:t>Carne lavorata e conservata e prodotti a base di carne</w:t>
            </w:r>
          </w:p>
        </w:tc>
        <w:tc>
          <w:tcPr>
            <w:tcW w:w="1305" w:type="dxa"/>
            <w:tcBorders/>
            <w:vAlign w:val="bottom"/>
          </w:tcPr>
          <w:p>
            <w:pPr>
              <w:pStyle w:val="Normal"/>
              <w:widowControl w:val="false"/>
              <w:suppressAutoHyphens w:val="true"/>
              <w:spacing w:before="60" w:after="0"/>
              <w:jc w:val="right"/>
              <w:rPr>
                <w:rFonts w:ascii="Verdana" w:hAnsi="Verdana" w:cs="Calibri"/>
                <w:b/>
                <w:b/>
                <w:bCs/>
                <w:sz w:val="15"/>
                <w:szCs w:val="15"/>
              </w:rPr>
            </w:pPr>
            <w:r>
              <w:rPr>
                <w:rFonts w:eastAsia="Cambria" w:cs="Calibri" w:ascii="Verdana" w:hAnsi="Verdana"/>
                <w:b/>
                <w:bCs/>
                <w:kern w:val="0"/>
                <w:sz w:val="15"/>
                <w:szCs w:val="15"/>
                <w:lang w:val="it-IT" w:bidi="ar-SA"/>
              </w:rPr>
              <w:t>24.824.532</w:t>
            </w:r>
          </w:p>
        </w:tc>
        <w:tc>
          <w:tcPr>
            <w:tcW w:w="1304" w:type="dxa"/>
            <w:tcBorders/>
            <w:vAlign w:val="bottom"/>
          </w:tcPr>
          <w:p>
            <w:pPr>
              <w:pStyle w:val="Normal"/>
              <w:widowControl w:val="false"/>
              <w:suppressAutoHyphens w:val="true"/>
              <w:spacing w:before="60" w:after="0"/>
              <w:jc w:val="right"/>
              <w:rPr>
                <w:rFonts w:ascii="Verdana" w:hAnsi="Verdana" w:cs="Calibri"/>
                <w:b/>
                <w:b/>
                <w:bCs/>
                <w:sz w:val="15"/>
                <w:szCs w:val="15"/>
              </w:rPr>
            </w:pPr>
            <w:r>
              <w:rPr>
                <w:rFonts w:eastAsia="Cambria" w:cs="Calibri" w:ascii="Verdana" w:hAnsi="Verdana"/>
                <w:b/>
                <w:bCs/>
                <w:kern w:val="0"/>
                <w:sz w:val="15"/>
                <w:szCs w:val="15"/>
                <w:lang w:val="it-IT" w:bidi="ar-SA"/>
              </w:rPr>
              <w:t>27.444.519</w:t>
            </w:r>
          </w:p>
        </w:tc>
        <w:tc>
          <w:tcPr>
            <w:tcW w:w="1303"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25.934.770</w:t>
            </w:r>
          </w:p>
        </w:tc>
        <w:tc>
          <w:tcPr>
            <w:tcW w:w="1305" w:type="dxa"/>
            <w:tcBorders>
              <w:right w:val="nil"/>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30.227.040</w:t>
            </w:r>
          </w:p>
        </w:tc>
        <w:tc>
          <w:tcPr>
            <w:tcW w:w="1324"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29.477.740</w:t>
            </w:r>
          </w:p>
        </w:tc>
        <w:tc>
          <w:tcPr>
            <w:tcW w:w="1325"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38.456.455</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Pesce, crostacei e molluschi lavorati e conservati</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10.648.819</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9.824.680</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10.939.490</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9.797.792</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9.873.508</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14.659.104</w:t>
            </w:r>
          </w:p>
        </w:tc>
      </w:tr>
      <w:tr>
        <w:trPr/>
        <w:tc>
          <w:tcPr>
            <w:tcW w:w="1928" w:type="dxa"/>
            <w:tcBorders/>
            <w:vAlign w:val="bottom"/>
          </w:tcPr>
          <w:p>
            <w:pPr>
              <w:pStyle w:val="Normal"/>
              <w:widowControl w:val="false"/>
              <w:suppressAutoHyphens w:val="true"/>
              <w:spacing w:before="60" w:after="0"/>
              <w:rPr>
                <w:rFonts w:ascii="Verdana" w:hAnsi="Verdana" w:cs="Calibri"/>
                <w:b/>
                <w:b/>
                <w:color w:val="000000"/>
                <w:sz w:val="15"/>
                <w:szCs w:val="15"/>
              </w:rPr>
            </w:pPr>
            <w:r>
              <w:rPr>
                <w:rFonts w:eastAsia="Cambria" w:cs="Calibri" w:ascii="Verdana" w:hAnsi="Verdana"/>
                <w:b/>
                <w:color w:val="000000"/>
                <w:kern w:val="0"/>
                <w:sz w:val="15"/>
                <w:szCs w:val="15"/>
                <w:lang w:val="it-IT" w:bidi="ar-SA"/>
              </w:rPr>
              <w:t>Frutta e ortaggi lavorati e conservati</w:t>
            </w:r>
          </w:p>
        </w:tc>
        <w:tc>
          <w:tcPr>
            <w:tcW w:w="1305"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24.162.988</w:t>
            </w:r>
          </w:p>
        </w:tc>
        <w:tc>
          <w:tcPr>
            <w:tcW w:w="1304"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22.964.250</w:t>
            </w:r>
          </w:p>
        </w:tc>
        <w:tc>
          <w:tcPr>
            <w:tcW w:w="1303"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28.162.855</w:t>
            </w:r>
          </w:p>
        </w:tc>
        <w:tc>
          <w:tcPr>
            <w:tcW w:w="1305" w:type="dxa"/>
            <w:tcBorders>
              <w:right w:val="nil"/>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31.610.973</w:t>
            </w:r>
          </w:p>
        </w:tc>
        <w:tc>
          <w:tcPr>
            <w:tcW w:w="1324"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30.347.288</w:t>
            </w:r>
          </w:p>
        </w:tc>
        <w:tc>
          <w:tcPr>
            <w:tcW w:w="1325"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38.497.696</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Oli e grassi vegetali e animali</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3.133.856</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3.538.058</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3.094.834</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3.206.582</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3.275.662</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2.930.110</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Prodotti delle industrie lattiero-casearie</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8.978.008</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11.058.119</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12.667.723</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13.159.633</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16.110.022</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19.098.048</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Prodotti della lavorazione di granaglie, amidi e prodotti amidacei</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3.037.129</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5.290.963</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3.199.429</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2.957.421</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2.637.366</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2.343.465</w:t>
            </w:r>
          </w:p>
        </w:tc>
      </w:tr>
      <w:tr>
        <w:trPr/>
        <w:tc>
          <w:tcPr>
            <w:tcW w:w="1928" w:type="dxa"/>
            <w:tcBorders/>
            <w:vAlign w:val="bottom"/>
          </w:tcPr>
          <w:p>
            <w:pPr>
              <w:pStyle w:val="Normal"/>
              <w:widowControl w:val="false"/>
              <w:suppressAutoHyphens w:val="true"/>
              <w:spacing w:before="60" w:after="0"/>
              <w:rPr>
                <w:rFonts w:ascii="Verdana" w:hAnsi="Verdana" w:cs="Calibri"/>
                <w:b/>
                <w:b/>
                <w:sz w:val="15"/>
                <w:szCs w:val="15"/>
              </w:rPr>
            </w:pPr>
            <w:r>
              <w:rPr>
                <w:rFonts w:eastAsia="Cambria" w:cs="Calibri" w:ascii="Verdana" w:hAnsi="Verdana"/>
                <w:b/>
                <w:kern w:val="0"/>
                <w:sz w:val="15"/>
                <w:szCs w:val="15"/>
                <w:lang w:val="it-IT" w:bidi="ar-SA"/>
              </w:rPr>
              <w:t>Prodotti da forno e farinacei</w:t>
            </w:r>
          </w:p>
        </w:tc>
        <w:tc>
          <w:tcPr>
            <w:tcW w:w="1305" w:type="dxa"/>
            <w:tcBorders/>
            <w:vAlign w:val="bottom"/>
          </w:tcPr>
          <w:p>
            <w:pPr>
              <w:pStyle w:val="Normal"/>
              <w:widowControl w:val="false"/>
              <w:suppressAutoHyphens w:val="true"/>
              <w:spacing w:before="60" w:after="0"/>
              <w:jc w:val="right"/>
              <w:rPr>
                <w:rFonts w:ascii="Verdana" w:hAnsi="Verdana" w:cs="Calibri"/>
                <w:b/>
                <w:b/>
                <w:bCs/>
                <w:sz w:val="15"/>
                <w:szCs w:val="15"/>
              </w:rPr>
            </w:pPr>
            <w:r>
              <w:rPr>
                <w:rFonts w:eastAsia="Cambria" w:cs="Calibri" w:ascii="Verdana" w:hAnsi="Verdana"/>
                <w:b/>
                <w:bCs/>
                <w:kern w:val="0"/>
                <w:sz w:val="15"/>
                <w:szCs w:val="15"/>
                <w:lang w:val="it-IT" w:bidi="ar-SA"/>
              </w:rPr>
              <w:t>26.014.190</w:t>
            </w:r>
          </w:p>
        </w:tc>
        <w:tc>
          <w:tcPr>
            <w:tcW w:w="1304" w:type="dxa"/>
            <w:tcBorders/>
            <w:vAlign w:val="bottom"/>
          </w:tcPr>
          <w:p>
            <w:pPr>
              <w:pStyle w:val="Normal"/>
              <w:widowControl w:val="false"/>
              <w:suppressAutoHyphens w:val="true"/>
              <w:spacing w:before="60" w:after="0"/>
              <w:jc w:val="right"/>
              <w:rPr>
                <w:rFonts w:ascii="Verdana" w:hAnsi="Verdana" w:cs="Calibri"/>
                <w:b/>
                <w:b/>
                <w:bCs/>
                <w:sz w:val="15"/>
                <w:szCs w:val="15"/>
              </w:rPr>
            </w:pPr>
            <w:r>
              <w:rPr>
                <w:rFonts w:eastAsia="Cambria" w:cs="Calibri" w:ascii="Verdana" w:hAnsi="Verdana"/>
                <w:b/>
                <w:bCs/>
                <w:kern w:val="0"/>
                <w:sz w:val="15"/>
                <w:szCs w:val="15"/>
                <w:lang w:val="it-IT" w:bidi="ar-SA"/>
              </w:rPr>
              <w:t>30.256.114</w:t>
            </w:r>
          </w:p>
        </w:tc>
        <w:tc>
          <w:tcPr>
            <w:tcW w:w="1303"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32.627.436</w:t>
            </w:r>
          </w:p>
        </w:tc>
        <w:tc>
          <w:tcPr>
            <w:tcW w:w="1305" w:type="dxa"/>
            <w:tcBorders>
              <w:right w:val="nil"/>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42.182.401</w:t>
            </w:r>
          </w:p>
        </w:tc>
        <w:tc>
          <w:tcPr>
            <w:tcW w:w="1324"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52.583.061</w:t>
            </w:r>
          </w:p>
        </w:tc>
        <w:tc>
          <w:tcPr>
            <w:tcW w:w="1325"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49.769.475</w:t>
            </w:r>
          </w:p>
        </w:tc>
      </w:tr>
      <w:tr>
        <w:trPr/>
        <w:tc>
          <w:tcPr>
            <w:tcW w:w="1928" w:type="dxa"/>
            <w:tcBorders/>
            <w:vAlign w:val="bottom"/>
          </w:tcPr>
          <w:p>
            <w:pPr>
              <w:pStyle w:val="Normal"/>
              <w:widowControl w:val="false"/>
              <w:suppressAutoHyphens w:val="true"/>
              <w:spacing w:before="60" w:after="0"/>
              <w:rPr>
                <w:rFonts w:ascii="Verdana" w:hAnsi="Verdana" w:cs="Calibri"/>
                <w:b/>
                <w:b/>
                <w:bCs/>
                <w:sz w:val="15"/>
                <w:szCs w:val="15"/>
              </w:rPr>
            </w:pPr>
            <w:r>
              <w:rPr>
                <w:rFonts w:eastAsia="Cambria" w:cs="Calibri" w:ascii="Verdana" w:hAnsi="Verdana"/>
                <w:b/>
                <w:bCs/>
                <w:kern w:val="0"/>
                <w:sz w:val="15"/>
                <w:szCs w:val="15"/>
                <w:lang w:val="it-IT" w:bidi="ar-SA"/>
              </w:rPr>
              <w:t>Altri prodotti alimentari</w:t>
            </w:r>
          </w:p>
        </w:tc>
        <w:tc>
          <w:tcPr>
            <w:tcW w:w="1305" w:type="dxa"/>
            <w:tcBorders/>
            <w:vAlign w:val="bottom"/>
          </w:tcPr>
          <w:p>
            <w:pPr>
              <w:pStyle w:val="Normal"/>
              <w:widowControl w:val="false"/>
              <w:suppressAutoHyphens w:val="true"/>
              <w:spacing w:before="60" w:after="0"/>
              <w:jc w:val="right"/>
              <w:rPr>
                <w:rFonts w:ascii="Verdana" w:hAnsi="Verdana" w:cs="Calibri"/>
                <w:b/>
                <w:b/>
                <w:bCs/>
                <w:sz w:val="15"/>
                <w:szCs w:val="15"/>
              </w:rPr>
            </w:pPr>
            <w:r>
              <w:rPr>
                <w:rFonts w:eastAsia="Cambria" w:cs="Calibri" w:ascii="Verdana" w:hAnsi="Verdana"/>
                <w:b/>
                <w:bCs/>
                <w:kern w:val="0"/>
                <w:sz w:val="15"/>
                <w:szCs w:val="15"/>
                <w:lang w:val="it-IT" w:bidi="ar-SA"/>
              </w:rPr>
              <w:t>71.287.838</w:t>
            </w:r>
          </w:p>
        </w:tc>
        <w:tc>
          <w:tcPr>
            <w:tcW w:w="1304" w:type="dxa"/>
            <w:tcBorders/>
            <w:vAlign w:val="bottom"/>
          </w:tcPr>
          <w:p>
            <w:pPr>
              <w:pStyle w:val="Normal"/>
              <w:widowControl w:val="false"/>
              <w:suppressAutoHyphens w:val="true"/>
              <w:spacing w:before="60" w:after="0"/>
              <w:jc w:val="right"/>
              <w:rPr>
                <w:rFonts w:ascii="Verdana" w:hAnsi="Verdana" w:cs="Calibri"/>
                <w:b/>
                <w:b/>
                <w:bCs/>
                <w:sz w:val="15"/>
                <w:szCs w:val="15"/>
              </w:rPr>
            </w:pPr>
            <w:r>
              <w:rPr>
                <w:rFonts w:eastAsia="Cambria" w:cs="Calibri" w:ascii="Verdana" w:hAnsi="Verdana"/>
                <w:b/>
                <w:bCs/>
                <w:kern w:val="0"/>
                <w:sz w:val="15"/>
                <w:szCs w:val="15"/>
                <w:lang w:val="it-IT" w:bidi="ar-SA"/>
              </w:rPr>
              <w:t>71.997.633</w:t>
            </w:r>
          </w:p>
        </w:tc>
        <w:tc>
          <w:tcPr>
            <w:tcW w:w="1303"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84.572.589</w:t>
            </w:r>
          </w:p>
        </w:tc>
        <w:tc>
          <w:tcPr>
            <w:tcW w:w="1305" w:type="dxa"/>
            <w:tcBorders>
              <w:right w:val="nil"/>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92.082.623</w:t>
            </w:r>
          </w:p>
        </w:tc>
        <w:tc>
          <w:tcPr>
            <w:tcW w:w="1324"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85.147.948</w:t>
            </w:r>
          </w:p>
        </w:tc>
        <w:tc>
          <w:tcPr>
            <w:tcW w:w="1325"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93.185.034</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Prodotti per l'alimentazione degli animali</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14.660.917</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13.264.731</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12.517.063</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6.310.746</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19.673.572</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15.836.410</w:t>
            </w:r>
          </w:p>
        </w:tc>
      </w:tr>
      <w:tr>
        <w:trPr/>
        <w:tc>
          <w:tcPr>
            <w:tcW w:w="1928" w:type="dxa"/>
            <w:tcBorders/>
            <w:vAlign w:val="bottom"/>
          </w:tcPr>
          <w:p>
            <w:pPr>
              <w:pStyle w:val="Normal"/>
              <w:widowControl w:val="false"/>
              <w:suppressAutoHyphens w:val="true"/>
              <w:spacing w:before="60" w:after="0"/>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Bevande</w:t>
            </w:r>
          </w:p>
        </w:tc>
        <w:tc>
          <w:tcPr>
            <w:tcW w:w="1305"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55.149.650</w:t>
            </w:r>
          </w:p>
        </w:tc>
        <w:tc>
          <w:tcPr>
            <w:tcW w:w="1304" w:type="dxa"/>
            <w:tcBorders/>
            <w:vAlign w:val="bottom"/>
          </w:tcPr>
          <w:p>
            <w:pPr>
              <w:pStyle w:val="Normal"/>
              <w:widowControl w:val="false"/>
              <w:suppressAutoHyphens w:val="true"/>
              <w:spacing w:before="60" w:after="0"/>
              <w:jc w:val="right"/>
              <w:rPr>
                <w:rFonts w:ascii="Verdana" w:hAnsi="Verdana" w:cs="Calibri"/>
                <w:b/>
                <w:b/>
                <w:bCs/>
                <w:color w:val="000000"/>
                <w:sz w:val="15"/>
                <w:szCs w:val="15"/>
              </w:rPr>
            </w:pPr>
            <w:r>
              <w:rPr>
                <w:rFonts w:eastAsia="Cambria" w:cs="Calibri" w:ascii="Verdana" w:hAnsi="Verdana"/>
                <w:b/>
                <w:bCs/>
                <w:color w:val="000000"/>
                <w:kern w:val="0"/>
                <w:sz w:val="15"/>
                <w:szCs w:val="15"/>
                <w:lang w:val="it-IT" w:bidi="ar-SA"/>
              </w:rPr>
              <w:t>57.082.541</w:t>
            </w:r>
          </w:p>
        </w:tc>
        <w:tc>
          <w:tcPr>
            <w:tcW w:w="1303"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65.445.908</w:t>
            </w:r>
          </w:p>
        </w:tc>
        <w:tc>
          <w:tcPr>
            <w:tcW w:w="1305" w:type="dxa"/>
            <w:tcBorders>
              <w:right w:val="nil"/>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71.005.336</w:t>
            </w:r>
          </w:p>
        </w:tc>
        <w:tc>
          <w:tcPr>
            <w:tcW w:w="1324"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61.112.092</w:t>
            </w:r>
          </w:p>
        </w:tc>
        <w:tc>
          <w:tcPr>
            <w:tcW w:w="1325" w:type="dxa"/>
            <w:tcBorders/>
            <w:vAlign w:val="bottom"/>
          </w:tcPr>
          <w:p>
            <w:pPr>
              <w:pStyle w:val="Normal"/>
              <w:widowControl/>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63.518.052</w:t>
            </w:r>
          </w:p>
        </w:tc>
      </w:tr>
      <w:tr>
        <w:trPr/>
        <w:tc>
          <w:tcPr>
            <w:tcW w:w="1928" w:type="dxa"/>
            <w:tcBorders/>
            <w:vAlign w:val="bottom"/>
          </w:tcPr>
          <w:p>
            <w:pPr>
              <w:pStyle w:val="Normal"/>
              <w:widowControl w:val="false"/>
              <w:suppressAutoHyphens w:val="true"/>
              <w:spacing w:before="60" w:after="0"/>
              <w:rPr>
                <w:rFonts w:ascii="Verdana" w:hAnsi="Verdana" w:cs="Calibri"/>
                <w:color w:val="000000"/>
                <w:sz w:val="15"/>
                <w:szCs w:val="15"/>
              </w:rPr>
            </w:pPr>
            <w:r>
              <w:rPr>
                <w:rFonts w:eastAsia="Cambria" w:cs="Calibri" w:ascii="Verdana" w:hAnsi="Verdana"/>
                <w:color w:val="000000"/>
                <w:kern w:val="0"/>
                <w:sz w:val="15"/>
                <w:szCs w:val="15"/>
                <w:lang w:val="it-IT" w:bidi="ar-SA"/>
              </w:rPr>
              <w:t>Tabacco</w:t>
            </w:r>
          </w:p>
        </w:tc>
        <w:tc>
          <w:tcPr>
            <w:tcW w:w="1305"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266.378</w:t>
            </w:r>
          </w:p>
        </w:tc>
        <w:tc>
          <w:tcPr>
            <w:tcW w:w="1304"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348.579</w:t>
            </w:r>
          </w:p>
        </w:tc>
        <w:tc>
          <w:tcPr>
            <w:tcW w:w="1303" w:type="dxa"/>
            <w:tcBorders/>
            <w:vAlign w:val="bottom"/>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884.097</w:t>
            </w:r>
          </w:p>
        </w:tc>
        <w:tc>
          <w:tcPr>
            <w:tcW w:w="1305" w:type="dxa"/>
            <w:tcBorders>
              <w:right w:val="nil"/>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1.175.894</w:t>
            </w:r>
          </w:p>
        </w:tc>
        <w:tc>
          <w:tcPr>
            <w:tcW w:w="1324"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3.074.734</w:t>
            </w:r>
          </w:p>
        </w:tc>
        <w:tc>
          <w:tcPr>
            <w:tcW w:w="1325" w:type="dxa"/>
            <w:tcBorders/>
            <w:vAlign w:val="bottom"/>
          </w:tcPr>
          <w:p>
            <w:pPr>
              <w:pStyle w:val="Normal"/>
              <w:widowControl/>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15"/>
                <w:szCs w:val="15"/>
                <w:lang w:val="it-IT" w:bidi="ar-SA"/>
              </w:rPr>
              <w:t>61.373</w:t>
            </w:r>
          </w:p>
        </w:tc>
      </w:tr>
      <w:tr>
        <w:trPr/>
        <w:tc>
          <w:tcPr>
            <w:tcW w:w="1928" w:type="dxa"/>
            <w:tcBorders/>
          </w:tcPr>
          <w:p>
            <w:pPr>
              <w:pStyle w:val="Normal"/>
              <w:widowControl w:val="false"/>
              <w:suppressAutoHyphens w:val="true"/>
              <w:spacing w:before="60" w:after="0"/>
              <w:rPr>
                <w:b/>
                <w:b/>
                <w:sz w:val="15"/>
                <w:szCs w:val="15"/>
              </w:rPr>
            </w:pPr>
            <w:r>
              <w:rPr>
                <w:rFonts w:eastAsia="Cambria" w:cs="Calibri" w:ascii="Verdana" w:hAnsi="Verdana"/>
                <w:b/>
                <w:color w:val="000000"/>
                <w:kern w:val="0"/>
                <w:sz w:val="15"/>
                <w:szCs w:val="15"/>
                <w:lang w:val="it-IT" w:bidi="ar-SA"/>
              </w:rPr>
              <w:t>Totale alimentari, bevande e tabacco</w:t>
            </w:r>
          </w:p>
        </w:tc>
        <w:tc>
          <w:tcPr>
            <w:tcW w:w="1305" w:type="dxa"/>
            <w:tcBorders/>
            <w:vAlign w:val="center"/>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242.164.305</w:t>
            </w:r>
          </w:p>
        </w:tc>
        <w:tc>
          <w:tcPr>
            <w:tcW w:w="1304" w:type="dxa"/>
            <w:tcBorders/>
            <w:vAlign w:val="center"/>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253.070.187</w:t>
            </w:r>
          </w:p>
        </w:tc>
        <w:tc>
          <w:tcPr>
            <w:tcW w:w="1303" w:type="dxa"/>
            <w:tcBorders/>
            <w:vAlign w:val="center"/>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280.046.194</w:t>
            </w:r>
          </w:p>
        </w:tc>
        <w:tc>
          <w:tcPr>
            <w:tcW w:w="1305" w:type="dxa"/>
            <w:tcBorders>
              <w:right w:val="nil"/>
            </w:tcBorders>
            <w:vAlign w:val="center"/>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303.716.441</w:t>
            </w:r>
          </w:p>
        </w:tc>
        <w:tc>
          <w:tcPr>
            <w:tcW w:w="1324" w:type="dxa"/>
            <w:tcBorders/>
            <w:vAlign w:val="center"/>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313.312.993</w:t>
            </w:r>
          </w:p>
        </w:tc>
        <w:tc>
          <w:tcPr>
            <w:tcW w:w="1325" w:type="dxa"/>
            <w:tcBorders/>
            <w:vAlign w:val="center"/>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338.355.222</w:t>
            </w:r>
          </w:p>
        </w:tc>
      </w:tr>
      <w:tr>
        <w:trPr>
          <w:trHeight w:val="151" w:hRule="atLeast"/>
        </w:trPr>
        <w:tc>
          <w:tcPr>
            <w:tcW w:w="1928" w:type="dxa"/>
            <w:tcBorders/>
          </w:tcPr>
          <w:p>
            <w:pPr>
              <w:pStyle w:val="Normal"/>
              <w:widowControl w:val="false"/>
              <w:suppressAutoHyphens w:val="true"/>
              <w:spacing w:before="60" w:after="0"/>
              <w:rPr>
                <w:sz w:val="15"/>
                <w:szCs w:val="15"/>
              </w:rPr>
            </w:pPr>
            <w:r>
              <w:rPr>
                <w:rFonts w:eastAsia="Cambria" w:cs="Times New Roman"/>
                <w:kern w:val="0"/>
                <w:sz w:val="20"/>
                <w:szCs w:val="15"/>
                <w:lang w:val="it-IT" w:bidi="ar-SA"/>
              </w:rPr>
            </w:r>
          </w:p>
        </w:tc>
        <w:tc>
          <w:tcPr>
            <w:tcW w:w="1305" w:type="dxa"/>
            <w:tcBorders/>
            <w:vAlign w:val="center"/>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20"/>
                <w:szCs w:val="15"/>
                <w:lang w:val="it-IT" w:bidi="ar-SA"/>
              </w:rPr>
            </w:r>
          </w:p>
        </w:tc>
        <w:tc>
          <w:tcPr>
            <w:tcW w:w="1304" w:type="dxa"/>
            <w:tcBorders/>
            <w:vAlign w:val="center"/>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20"/>
                <w:szCs w:val="15"/>
                <w:lang w:val="it-IT" w:bidi="ar-SA"/>
              </w:rPr>
            </w:r>
          </w:p>
        </w:tc>
        <w:tc>
          <w:tcPr>
            <w:tcW w:w="1303" w:type="dxa"/>
            <w:tcBorders/>
            <w:vAlign w:val="center"/>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20"/>
                <w:szCs w:val="15"/>
                <w:lang w:val="it-IT" w:bidi="ar-SA"/>
              </w:rPr>
            </w:r>
          </w:p>
        </w:tc>
        <w:tc>
          <w:tcPr>
            <w:tcW w:w="1305" w:type="dxa"/>
            <w:tcBorders>
              <w:right w:val="nil"/>
            </w:tcBorders>
            <w:vAlign w:val="center"/>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20"/>
                <w:szCs w:val="15"/>
                <w:lang w:val="it-IT" w:bidi="ar-SA"/>
              </w:rPr>
            </w:r>
          </w:p>
        </w:tc>
        <w:tc>
          <w:tcPr>
            <w:tcW w:w="1324" w:type="dxa"/>
            <w:tcBorders/>
            <w:vAlign w:val="center"/>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20"/>
                <w:szCs w:val="15"/>
                <w:lang w:val="it-IT" w:bidi="ar-SA"/>
              </w:rPr>
            </w:r>
          </w:p>
        </w:tc>
        <w:tc>
          <w:tcPr>
            <w:tcW w:w="1325" w:type="dxa"/>
            <w:tcBorders/>
          </w:tcPr>
          <w:p>
            <w:pPr>
              <w:pStyle w:val="Normal"/>
              <w:widowControl w:val="false"/>
              <w:suppressAutoHyphens w:val="true"/>
              <w:spacing w:before="60" w:after="0"/>
              <w:jc w:val="right"/>
              <w:rPr>
                <w:rFonts w:ascii="Verdana" w:hAnsi="Verdana" w:cs="Calibri"/>
                <w:color w:val="000000"/>
                <w:sz w:val="15"/>
                <w:szCs w:val="15"/>
              </w:rPr>
            </w:pPr>
            <w:r>
              <w:rPr>
                <w:rFonts w:eastAsia="Cambria" w:cs="Calibri" w:ascii="Verdana" w:hAnsi="Verdana"/>
                <w:color w:val="000000"/>
                <w:kern w:val="0"/>
                <w:sz w:val="20"/>
                <w:szCs w:val="15"/>
                <w:lang w:val="it-IT" w:bidi="ar-SA"/>
              </w:rPr>
            </w:r>
          </w:p>
        </w:tc>
      </w:tr>
      <w:tr>
        <w:trPr/>
        <w:tc>
          <w:tcPr>
            <w:tcW w:w="1928" w:type="dxa"/>
            <w:tcBorders/>
          </w:tcPr>
          <w:p>
            <w:pPr>
              <w:pStyle w:val="Normal"/>
              <w:widowControl w:val="false"/>
              <w:suppressAutoHyphens w:val="true"/>
              <w:spacing w:before="60" w:after="0"/>
              <w:rPr>
                <w:sz w:val="15"/>
                <w:szCs w:val="15"/>
              </w:rPr>
            </w:pPr>
            <w:r>
              <w:rPr>
                <w:rFonts w:eastAsia="Cambria" w:cs="Calibri" w:ascii="Verdana" w:hAnsi="Verdana"/>
                <w:b/>
                <w:color w:val="000000"/>
                <w:kern w:val="0"/>
                <w:sz w:val="15"/>
                <w:szCs w:val="15"/>
                <w:lang w:val="it-IT" w:bidi="ar-SA"/>
              </w:rPr>
              <w:t>Totale agroalimentare</w:t>
            </w:r>
          </w:p>
        </w:tc>
        <w:tc>
          <w:tcPr>
            <w:tcW w:w="1305"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370.184.977</w:t>
            </w:r>
          </w:p>
        </w:tc>
        <w:tc>
          <w:tcPr>
            <w:tcW w:w="1304"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367.575.202</w:t>
            </w:r>
          </w:p>
        </w:tc>
        <w:tc>
          <w:tcPr>
            <w:tcW w:w="1303"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383.983.101</w:t>
            </w:r>
          </w:p>
        </w:tc>
        <w:tc>
          <w:tcPr>
            <w:tcW w:w="1305" w:type="dxa"/>
            <w:tcBorders>
              <w:right w:val="nil"/>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422.469.011</w:t>
            </w:r>
          </w:p>
        </w:tc>
        <w:tc>
          <w:tcPr>
            <w:tcW w:w="1324"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424.966.836</w:t>
            </w:r>
          </w:p>
        </w:tc>
        <w:tc>
          <w:tcPr>
            <w:tcW w:w="1325" w:type="dxa"/>
            <w:tcBorders/>
            <w:vAlign w:val="bottom"/>
          </w:tcPr>
          <w:p>
            <w:pPr>
              <w:pStyle w:val="Normal"/>
              <w:widowControl w:val="false"/>
              <w:suppressAutoHyphens w:val="true"/>
              <w:spacing w:before="60" w:after="0"/>
              <w:jc w:val="right"/>
              <w:rPr>
                <w:rFonts w:ascii="Verdana" w:hAnsi="Verdana" w:cs="Calibri"/>
                <w:b/>
                <w:b/>
                <w:color w:val="000000"/>
                <w:sz w:val="15"/>
                <w:szCs w:val="15"/>
              </w:rPr>
            </w:pPr>
            <w:r>
              <w:rPr>
                <w:rFonts w:eastAsia="Cambria" w:cs="Calibri" w:ascii="Verdana" w:hAnsi="Verdana"/>
                <w:b/>
                <w:color w:val="000000"/>
                <w:kern w:val="0"/>
                <w:sz w:val="15"/>
                <w:szCs w:val="15"/>
                <w:lang w:val="it-IT" w:bidi="ar-SA"/>
              </w:rPr>
              <w:t>452.884.030</w:t>
            </w:r>
          </w:p>
        </w:tc>
      </w:tr>
    </w:tbl>
    <w:p>
      <w:pPr>
        <w:pStyle w:val="Normal"/>
        <w:spacing w:before="0" w:after="0"/>
        <w:rPr>
          <w:sz w:val="16"/>
          <w:szCs w:val="16"/>
        </w:rPr>
      </w:pPr>
      <w:r>
        <w:rPr>
          <w:sz w:val="16"/>
          <w:szCs w:val="16"/>
        </w:rPr>
        <w:t>*2021 – dati provvisori</w:t>
      </w:r>
    </w:p>
    <w:p>
      <w:pPr>
        <w:pStyle w:val="Normal"/>
        <w:spacing w:before="0" w:after="0"/>
        <w:rPr>
          <w:sz w:val="16"/>
          <w:szCs w:val="16"/>
        </w:rPr>
      </w:pPr>
      <w:r>
        <w:rPr>
          <w:sz w:val="16"/>
          <w:szCs w:val="16"/>
        </w:rPr>
        <w:t>Fonte: Istat, Coeweb</w:t>
      </w:r>
    </w:p>
    <w:p>
      <w:pPr>
        <w:pStyle w:val="Normal"/>
        <w:spacing w:before="0" w:after="0"/>
        <w:rPr>
          <w:sz w:val="16"/>
          <w:szCs w:val="16"/>
        </w:rPr>
      </w:pPr>
      <w:r>
        <w:rPr>
          <w:sz w:val="16"/>
          <w:szCs w:val="16"/>
        </w:rPr>
        <w:t>Elaborazione: Ufficio Studi e statistica, Camera di Commercio delle Marche</w:t>
      </w:r>
    </w:p>
    <w:p>
      <w:pPr>
        <w:pStyle w:val="Normal"/>
        <w:rPr/>
      </w:pPr>
      <w:r>
        <w:rPr/>
      </w:r>
    </w:p>
    <w:p>
      <w:pPr>
        <w:pStyle w:val="Titolo2"/>
        <w:numPr>
          <w:ilvl w:val="1"/>
          <w:numId w:val="9"/>
        </w:numPr>
        <w:ind w:left="0" w:hanging="0"/>
        <w:rPr/>
      </w:pPr>
      <w:r>
        <w:rPr/>
        <w:t>I mercati di destinazione del settore agroalimentare marchigiano</w:t>
      </w:r>
    </w:p>
    <w:p>
      <w:pPr>
        <w:pStyle w:val="Normal"/>
        <w:rPr/>
      </w:pPr>
      <w:r>
        <w:rPr>
          <w:b/>
        </w:rPr>
        <w:t>L’Europa si conferma essere il mercato principale verso cui si dirigono le esportazioni agroalimentari marchigiane. Nel 2021 ha assorbito 324,9 milioni di euro di tali prodotti, incrementando la propria quota che giunge al 71,7% del totale</w:t>
      </w:r>
      <w:r>
        <w:rPr/>
        <w:t xml:space="preserve"> (la quota era del 67,6% l’anno prima), grazie ad una crescita su base annua del 13%, circa il doppio rispetto a quella media (+6,6%). </w:t>
      </w:r>
      <w:r>
        <w:rPr>
          <w:b/>
        </w:rPr>
        <w:t>L’Unione europea a 27</w:t>
      </w:r>
      <w:r>
        <w:rPr/>
        <w:t xml:space="preserve"> Paesi, in particolare, ha acquistato prodotti agroalimentari marchigiani per un valore di 248,3 milioni di euro (+10,8% l’incremento su base annua), mentre più intensa è la crescita complessiva dei Paesi europei non appartenenti alla Ue (+21%), con  base di partenza pari tuttavia ad un quarto circa del valore Ue.</w:t>
      </w:r>
    </w:p>
    <w:p>
      <w:pPr>
        <w:pStyle w:val="Normal"/>
        <w:rPr/>
      </w:pPr>
      <w:r>
        <w:rPr/>
      </w:r>
    </w:p>
    <w:p>
      <w:pPr>
        <w:pStyle w:val="Normal"/>
        <w:spacing w:before="0" w:after="0"/>
        <w:rPr>
          <w:b/>
          <w:b/>
        </w:rPr>
      </w:pPr>
      <w:r>
        <w:rPr>
          <w:b/>
        </w:rPr>
        <w:t>Esportazioni agroalimentari delle Marche per area geografica di destinazione</w:t>
      </w:r>
    </w:p>
    <w:p>
      <w:pPr>
        <w:pStyle w:val="Normal"/>
        <w:spacing w:before="0" w:after="0"/>
        <w:rPr/>
      </w:pPr>
      <w:r>
        <w:rPr/>
        <w:t>Valori assoluti in euro e variazione percentuale – anno 2021 e 2020</w:t>
      </w:r>
    </w:p>
    <w:tbl>
      <w:tblPr>
        <w:tblStyle w:val="Grigliatabella"/>
        <w:tblW w:w="7338" w:type="dxa"/>
        <w:jc w:val="left"/>
        <w:tblInd w:w="0" w:type="dxa"/>
        <w:tblLayout w:type="fixed"/>
        <w:tblCellMar>
          <w:top w:w="0" w:type="dxa"/>
          <w:left w:w="108" w:type="dxa"/>
          <w:bottom w:w="0" w:type="dxa"/>
          <w:right w:w="108" w:type="dxa"/>
        </w:tblCellMar>
        <w:tblLook w:val="04a0"/>
      </w:tblPr>
      <w:tblGrid>
        <w:gridCol w:w="2517"/>
        <w:gridCol w:w="1391"/>
        <w:gridCol w:w="1955"/>
        <w:gridCol w:w="1474"/>
      </w:tblGrid>
      <w:tr>
        <w:trPr/>
        <w:tc>
          <w:tcPr>
            <w:tcW w:w="2517" w:type="dxa"/>
            <w:tcBorders/>
            <w:vAlign w:val="center"/>
          </w:tcPr>
          <w:p>
            <w:pPr>
              <w:pStyle w:val="Normal"/>
              <w:widowControl w:val="false"/>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1391"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2020</w:t>
            </w:r>
          </w:p>
        </w:tc>
        <w:tc>
          <w:tcPr>
            <w:tcW w:w="1955"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2021 provvisorio</w:t>
            </w:r>
          </w:p>
        </w:tc>
        <w:tc>
          <w:tcPr>
            <w:tcW w:w="1474"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Var. % 2021/2020</w:t>
            </w:r>
          </w:p>
        </w:tc>
      </w:tr>
      <w:tr>
        <w:trPr/>
        <w:tc>
          <w:tcPr>
            <w:tcW w:w="2517" w:type="dxa"/>
            <w:tcBorders/>
            <w:vAlign w:val="center"/>
          </w:tcPr>
          <w:p>
            <w:pPr>
              <w:pStyle w:val="Normal"/>
              <w:widowControl w:val="false"/>
              <w:suppressAutoHyphens w:val="true"/>
              <w:spacing w:before="60" w:after="0"/>
              <w:rPr>
                <w:rFonts w:cs="Arial"/>
                <w:b/>
                <w:b/>
                <w:bCs/>
                <w:color w:val="000000"/>
                <w:sz w:val="16"/>
                <w:szCs w:val="16"/>
              </w:rPr>
            </w:pPr>
            <w:r>
              <w:rPr>
                <w:rFonts w:eastAsia="Cambria" w:cs="Arial"/>
                <w:b/>
                <w:bCs/>
                <w:color w:val="000000"/>
                <w:kern w:val="0"/>
                <w:sz w:val="16"/>
                <w:szCs w:val="16"/>
                <w:lang w:val="it-IT" w:bidi="ar-SA"/>
              </w:rPr>
              <w:t>EUROPA</w:t>
            </w:r>
          </w:p>
        </w:tc>
        <w:tc>
          <w:tcPr>
            <w:tcW w:w="1391"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287.432.967</w:t>
            </w:r>
          </w:p>
        </w:tc>
        <w:tc>
          <w:tcPr>
            <w:tcW w:w="1955"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324.923.198</w:t>
            </w:r>
          </w:p>
        </w:tc>
        <w:tc>
          <w:tcPr>
            <w:tcW w:w="1474"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13,0%</w:t>
            </w:r>
          </w:p>
        </w:tc>
      </w:tr>
      <w:tr>
        <w:trPr/>
        <w:tc>
          <w:tcPr>
            <w:tcW w:w="2517" w:type="dxa"/>
            <w:tcBorders/>
            <w:vAlign w:val="center"/>
          </w:tcPr>
          <w:p>
            <w:pPr>
              <w:pStyle w:val="Normal"/>
              <w:widowControl w:val="false"/>
              <w:suppressAutoHyphens w:val="true"/>
              <w:spacing w:before="60" w:after="0"/>
              <w:rPr>
                <w:rFonts w:cs="Arial"/>
                <w:bCs/>
                <w:i/>
                <w:i/>
                <w:color w:val="000000"/>
                <w:sz w:val="16"/>
                <w:szCs w:val="16"/>
              </w:rPr>
            </w:pPr>
            <w:r>
              <w:rPr>
                <w:rFonts w:eastAsia="Cambria" w:cs="Arial"/>
                <w:bCs/>
                <w:i/>
                <w:color w:val="000000"/>
                <w:kern w:val="0"/>
                <w:sz w:val="16"/>
                <w:szCs w:val="16"/>
                <w:lang w:val="it-IT" w:bidi="ar-SA"/>
              </w:rPr>
              <w:t xml:space="preserve">   </w:t>
            </w:r>
            <w:r>
              <w:rPr>
                <w:rFonts w:eastAsia="Cambria" w:cs="Arial"/>
                <w:bCs/>
                <w:i/>
                <w:color w:val="000000"/>
                <w:kern w:val="0"/>
                <w:sz w:val="16"/>
                <w:szCs w:val="16"/>
                <w:lang w:val="it-IT" w:bidi="ar-SA"/>
              </w:rPr>
              <w:t>Unione europea 27 post Brexit</w:t>
            </w:r>
          </w:p>
        </w:tc>
        <w:tc>
          <w:tcPr>
            <w:tcW w:w="1391" w:type="dxa"/>
            <w:tcBorders/>
            <w:vAlign w:val="bottom"/>
          </w:tcPr>
          <w:p>
            <w:pPr>
              <w:pStyle w:val="Normal"/>
              <w:widowControl w:val="false"/>
              <w:suppressAutoHyphens w:val="true"/>
              <w:spacing w:before="60" w:after="0"/>
              <w:jc w:val="right"/>
              <w:rPr>
                <w:rFonts w:cs="Arial"/>
                <w:i/>
                <w:i/>
                <w:color w:val="000000"/>
                <w:sz w:val="16"/>
                <w:szCs w:val="16"/>
              </w:rPr>
            </w:pPr>
            <w:r>
              <w:rPr>
                <w:rFonts w:eastAsia="Cambria" w:cs="Arial"/>
                <w:i/>
                <w:color w:val="000000"/>
                <w:kern w:val="0"/>
                <w:sz w:val="16"/>
                <w:szCs w:val="16"/>
                <w:lang w:val="it-IT" w:bidi="ar-SA"/>
              </w:rPr>
              <w:t>224.091.705</w:t>
            </w:r>
          </w:p>
        </w:tc>
        <w:tc>
          <w:tcPr>
            <w:tcW w:w="1955" w:type="dxa"/>
            <w:tcBorders/>
            <w:vAlign w:val="bottom"/>
          </w:tcPr>
          <w:p>
            <w:pPr>
              <w:pStyle w:val="Normal"/>
              <w:widowControl w:val="false"/>
              <w:suppressAutoHyphens w:val="true"/>
              <w:spacing w:before="60" w:after="0"/>
              <w:jc w:val="right"/>
              <w:rPr>
                <w:rFonts w:cs="Arial"/>
                <w:i/>
                <w:i/>
                <w:color w:val="000000"/>
                <w:sz w:val="16"/>
                <w:szCs w:val="16"/>
              </w:rPr>
            </w:pPr>
            <w:r>
              <w:rPr>
                <w:rFonts w:eastAsia="Cambria" w:cs="Arial"/>
                <w:i/>
                <w:color w:val="000000"/>
                <w:kern w:val="0"/>
                <w:sz w:val="16"/>
                <w:szCs w:val="16"/>
                <w:lang w:val="it-IT" w:bidi="ar-SA"/>
              </w:rPr>
              <w:t>248.270.286</w:t>
            </w:r>
          </w:p>
        </w:tc>
        <w:tc>
          <w:tcPr>
            <w:tcW w:w="1474" w:type="dxa"/>
            <w:tcBorders/>
            <w:vAlign w:val="bottom"/>
          </w:tcPr>
          <w:p>
            <w:pPr>
              <w:pStyle w:val="Normal"/>
              <w:widowControl w:val="false"/>
              <w:suppressAutoHyphens w:val="true"/>
              <w:spacing w:before="60" w:after="0"/>
              <w:jc w:val="right"/>
              <w:rPr>
                <w:rFonts w:cs="Arial"/>
                <w:i/>
                <w:i/>
                <w:color w:val="000000"/>
                <w:sz w:val="16"/>
                <w:szCs w:val="16"/>
              </w:rPr>
            </w:pPr>
            <w:r>
              <w:rPr>
                <w:rFonts w:eastAsia="Cambria" w:cs="Arial"/>
                <w:i/>
                <w:color w:val="000000"/>
                <w:kern w:val="0"/>
                <w:sz w:val="16"/>
                <w:szCs w:val="16"/>
                <w:lang w:val="it-IT" w:bidi="ar-SA"/>
              </w:rPr>
              <w:t>10,8%</w:t>
            </w:r>
          </w:p>
        </w:tc>
      </w:tr>
      <w:tr>
        <w:trPr/>
        <w:tc>
          <w:tcPr>
            <w:tcW w:w="2517"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 xml:space="preserve">   </w:t>
            </w:r>
            <w:r>
              <w:rPr>
                <w:rFonts w:eastAsia="Cambria" w:cs="Arial"/>
                <w:bCs/>
                <w:i/>
                <w:color w:val="000000"/>
                <w:kern w:val="0"/>
                <w:sz w:val="16"/>
                <w:szCs w:val="16"/>
                <w:lang w:val="it-IT" w:bidi="ar-SA"/>
              </w:rPr>
              <w:t>Paesi europei non Ue</w:t>
            </w:r>
          </w:p>
        </w:tc>
        <w:tc>
          <w:tcPr>
            <w:tcW w:w="1391" w:type="dxa"/>
            <w:tcBorders/>
            <w:vAlign w:val="bottom"/>
          </w:tcPr>
          <w:p>
            <w:pPr>
              <w:pStyle w:val="Normal"/>
              <w:widowControl w:val="false"/>
              <w:suppressAutoHyphens w:val="true"/>
              <w:spacing w:before="60" w:after="0"/>
              <w:jc w:val="right"/>
              <w:rPr>
                <w:rFonts w:cs="Arial"/>
                <w:i/>
                <w:i/>
                <w:color w:val="000000"/>
                <w:sz w:val="16"/>
                <w:szCs w:val="16"/>
              </w:rPr>
            </w:pPr>
            <w:r>
              <w:rPr>
                <w:rFonts w:eastAsia="Cambria" w:cs="Arial"/>
                <w:i/>
                <w:color w:val="000000"/>
                <w:kern w:val="0"/>
                <w:sz w:val="16"/>
                <w:szCs w:val="16"/>
                <w:lang w:val="it-IT" w:bidi="ar-SA"/>
              </w:rPr>
              <w:t>63.341.262</w:t>
            </w:r>
          </w:p>
        </w:tc>
        <w:tc>
          <w:tcPr>
            <w:tcW w:w="1955" w:type="dxa"/>
            <w:tcBorders/>
            <w:vAlign w:val="bottom"/>
          </w:tcPr>
          <w:p>
            <w:pPr>
              <w:pStyle w:val="Normal"/>
              <w:widowControl w:val="false"/>
              <w:suppressAutoHyphens w:val="true"/>
              <w:spacing w:before="60" w:after="0"/>
              <w:jc w:val="right"/>
              <w:rPr>
                <w:rFonts w:cs="Arial"/>
                <w:i/>
                <w:i/>
                <w:color w:val="000000"/>
                <w:sz w:val="16"/>
                <w:szCs w:val="16"/>
              </w:rPr>
            </w:pPr>
            <w:r>
              <w:rPr>
                <w:rFonts w:eastAsia="Cambria" w:cs="Arial"/>
                <w:i/>
                <w:color w:val="000000"/>
                <w:kern w:val="0"/>
                <w:sz w:val="16"/>
                <w:szCs w:val="16"/>
                <w:lang w:val="it-IT" w:bidi="ar-SA"/>
              </w:rPr>
              <w:t>76.652.912</w:t>
            </w:r>
          </w:p>
        </w:tc>
        <w:tc>
          <w:tcPr>
            <w:tcW w:w="1474" w:type="dxa"/>
            <w:tcBorders/>
            <w:vAlign w:val="bottom"/>
          </w:tcPr>
          <w:p>
            <w:pPr>
              <w:pStyle w:val="Normal"/>
              <w:widowControl w:val="false"/>
              <w:suppressAutoHyphens w:val="true"/>
              <w:spacing w:before="60" w:after="0"/>
              <w:jc w:val="right"/>
              <w:rPr>
                <w:rFonts w:cs="Arial"/>
                <w:i/>
                <w:i/>
                <w:color w:val="000000"/>
                <w:sz w:val="16"/>
                <w:szCs w:val="16"/>
              </w:rPr>
            </w:pPr>
            <w:r>
              <w:rPr>
                <w:rFonts w:eastAsia="Cambria" w:cs="Arial"/>
                <w:i/>
                <w:color w:val="000000"/>
                <w:kern w:val="0"/>
                <w:sz w:val="16"/>
                <w:szCs w:val="16"/>
                <w:lang w:val="it-IT" w:bidi="ar-SA"/>
              </w:rPr>
              <w:t>21,0%</w:t>
            </w:r>
          </w:p>
        </w:tc>
      </w:tr>
      <w:tr>
        <w:trPr/>
        <w:tc>
          <w:tcPr>
            <w:tcW w:w="2517"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AFRICA</w:t>
            </w:r>
          </w:p>
        </w:tc>
        <w:tc>
          <w:tcPr>
            <w:tcW w:w="1391"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6.188.587</w:t>
            </w:r>
          </w:p>
        </w:tc>
        <w:tc>
          <w:tcPr>
            <w:tcW w:w="1955"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7.547.771</w:t>
            </w:r>
          </w:p>
        </w:tc>
        <w:tc>
          <w:tcPr>
            <w:tcW w:w="1474"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22,0%</w:t>
            </w:r>
          </w:p>
        </w:tc>
      </w:tr>
      <w:tr>
        <w:trPr/>
        <w:tc>
          <w:tcPr>
            <w:tcW w:w="2517"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America settentrionale</w:t>
            </w:r>
          </w:p>
        </w:tc>
        <w:tc>
          <w:tcPr>
            <w:tcW w:w="1391"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38.260.373</w:t>
            </w:r>
          </w:p>
        </w:tc>
        <w:tc>
          <w:tcPr>
            <w:tcW w:w="1955"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38.321.950</w:t>
            </w:r>
          </w:p>
        </w:tc>
        <w:tc>
          <w:tcPr>
            <w:tcW w:w="1474"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0,2%</w:t>
            </w:r>
          </w:p>
        </w:tc>
      </w:tr>
      <w:tr>
        <w:trPr/>
        <w:tc>
          <w:tcPr>
            <w:tcW w:w="2517"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America centro-meridionale</w:t>
            </w:r>
          </w:p>
        </w:tc>
        <w:tc>
          <w:tcPr>
            <w:tcW w:w="1391"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3.223.482</w:t>
            </w:r>
          </w:p>
        </w:tc>
        <w:tc>
          <w:tcPr>
            <w:tcW w:w="1955"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5.502.880</w:t>
            </w:r>
          </w:p>
        </w:tc>
        <w:tc>
          <w:tcPr>
            <w:tcW w:w="1474"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70,7%</w:t>
            </w:r>
          </w:p>
        </w:tc>
      </w:tr>
      <w:tr>
        <w:trPr/>
        <w:tc>
          <w:tcPr>
            <w:tcW w:w="2517"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Medio Oriente</w:t>
            </w:r>
          </w:p>
        </w:tc>
        <w:tc>
          <w:tcPr>
            <w:tcW w:w="1391"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59.765.399</w:t>
            </w:r>
          </w:p>
        </w:tc>
        <w:tc>
          <w:tcPr>
            <w:tcW w:w="1955"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42.918.622</w:t>
            </w:r>
          </w:p>
        </w:tc>
        <w:tc>
          <w:tcPr>
            <w:tcW w:w="1474"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-28,2%</w:t>
            </w:r>
          </w:p>
        </w:tc>
      </w:tr>
      <w:tr>
        <w:trPr/>
        <w:tc>
          <w:tcPr>
            <w:tcW w:w="2517"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Asia centrale</w:t>
            </w:r>
          </w:p>
        </w:tc>
        <w:tc>
          <w:tcPr>
            <w:tcW w:w="1391"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114.237</w:t>
            </w:r>
          </w:p>
        </w:tc>
        <w:tc>
          <w:tcPr>
            <w:tcW w:w="1955"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952.581</w:t>
            </w:r>
          </w:p>
        </w:tc>
        <w:tc>
          <w:tcPr>
            <w:tcW w:w="1474"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733,9%</w:t>
            </w:r>
          </w:p>
        </w:tc>
      </w:tr>
      <w:tr>
        <w:trPr/>
        <w:tc>
          <w:tcPr>
            <w:tcW w:w="2517"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Asia orientale</w:t>
            </w:r>
          </w:p>
        </w:tc>
        <w:tc>
          <w:tcPr>
            <w:tcW w:w="1391"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27.853.778</w:t>
            </w:r>
          </w:p>
        </w:tc>
        <w:tc>
          <w:tcPr>
            <w:tcW w:w="1955"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30.719.028</w:t>
            </w:r>
          </w:p>
        </w:tc>
        <w:tc>
          <w:tcPr>
            <w:tcW w:w="1474"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10,3%</w:t>
            </w:r>
          </w:p>
        </w:tc>
      </w:tr>
      <w:tr>
        <w:trPr/>
        <w:tc>
          <w:tcPr>
            <w:tcW w:w="2517"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OCEANIA E ALTRI TERRITORI</w:t>
            </w:r>
          </w:p>
        </w:tc>
        <w:tc>
          <w:tcPr>
            <w:tcW w:w="1391"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2.128.013</w:t>
            </w:r>
          </w:p>
        </w:tc>
        <w:tc>
          <w:tcPr>
            <w:tcW w:w="1955"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1.998.000</w:t>
            </w:r>
          </w:p>
        </w:tc>
        <w:tc>
          <w:tcPr>
            <w:tcW w:w="1474"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-6,1%</w:t>
            </w:r>
          </w:p>
        </w:tc>
      </w:tr>
      <w:tr>
        <w:trPr/>
        <w:tc>
          <w:tcPr>
            <w:tcW w:w="2517"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20"/>
                <w:szCs w:val="16"/>
                <w:lang w:val="it-IT" w:bidi="ar-SA"/>
              </w:rPr>
            </w:r>
          </w:p>
        </w:tc>
        <w:tc>
          <w:tcPr>
            <w:tcW w:w="1391" w:type="dxa"/>
            <w:tcBorders/>
            <w:vAlign w:val="bottom"/>
          </w:tcPr>
          <w:p>
            <w:pPr>
              <w:pStyle w:val="Normal"/>
              <w:widowControl w:val="false"/>
              <w:suppressAutoHyphens w:val="true"/>
              <w:spacing w:before="60" w:after="0"/>
              <w:jc w:val="right"/>
              <w:rPr>
                <w:rFonts w:cs="Arial"/>
                <w:bCs/>
                <w:color w:val="000000"/>
                <w:sz w:val="16"/>
                <w:szCs w:val="16"/>
              </w:rPr>
            </w:pPr>
            <w:r>
              <w:rPr>
                <w:rFonts w:eastAsia="Cambria" w:cs="Arial"/>
                <w:bCs/>
                <w:color w:val="000000"/>
                <w:kern w:val="0"/>
                <w:sz w:val="20"/>
                <w:szCs w:val="16"/>
                <w:lang w:val="it-IT" w:bidi="ar-SA"/>
              </w:rPr>
            </w:r>
          </w:p>
        </w:tc>
        <w:tc>
          <w:tcPr>
            <w:tcW w:w="1955" w:type="dxa"/>
            <w:tcBorders/>
            <w:vAlign w:val="bottom"/>
          </w:tcPr>
          <w:p>
            <w:pPr>
              <w:pStyle w:val="Normal"/>
              <w:widowControl w:val="false"/>
              <w:suppressAutoHyphens w:val="true"/>
              <w:spacing w:before="60" w:after="0"/>
              <w:jc w:val="right"/>
              <w:rPr>
                <w:rFonts w:cs="Arial"/>
                <w:bCs/>
                <w:color w:val="000000"/>
                <w:sz w:val="16"/>
                <w:szCs w:val="16"/>
              </w:rPr>
            </w:pPr>
            <w:r>
              <w:rPr>
                <w:rFonts w:eastAsia="Cambria" w:cs="Arial"/>
                <w:bCs/>
                <w:color w:val="000000"/>
                <w:kern w:val="0"/>
                <w:sz w:val="20"/>
                <w:szCs w:val="16"/>
                <w:lang w:val="it-IT" w:bidi="ar-SA"/>
              </w:rPr>
            </w:r>
          </w:p>
        </w:tc>
        <w:tc>
          <w:tcPr>
            <w:tcW w:w="1474"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20"/>
                <w:szCs w:val="16"/>
                <w:lang w:val="it-IT" w:bidi="ar-SA"/>
              </w:rPr>
            </w:r>
          </w:p>
        </w:tc>
      </w:tr>
      <w:tr>
        <w:trPr/>
        <w:tc>
          <w:tcPr>
            <w:tcW w:w="2517" w:type="dxa"/>
            <w:tcBorders/>
            <w:vAlign w:val="center"/>
          </w:tcPr>
          <w:p>
            <w:pPr>
              <w:pStyle w:val="Normal"/>
              <w:widowControl w:val="false"/>
              <w:suppressAutoHyphens w:val="true"/>
              <w:spacing w:before="60" w:after="0"/>
              <w:rPr>
                <w:rFonts w:cs="Arial"/>
                <w:b/>
                <w:b/>
                <w:bCs/>
                <w:color w:val="000000"/>
                <w:sz w:val="16"/>
                <w:szCs w:val="16"/>
              </w:rPr>
            </w:pPr>
            <w:r>
              <w:rPr>
                <w:rFonts w:eastAsia="Cambria" w:cs="Arial"/>
                <w:b/>
                <w:bCs/>
                <w:color w:val="000000"/>
                <w:kern w:val="0"/>
                <w:sz w:val="16"/>
                <w:szCs w:val="16"/>
                <w:lang w:val="it-IT" w:bidi="ar-SA"/>
              </w:rPr>
              <w:t> </w:t>
            </w:r>
            <w:r>
              <w:rPr>
                <w:rFonts w:eastAsia="Cambria" w:cs="Arial"/>
                <w:b/>
                <w:bCs/>
                <w:color w:val="000000"/>
                <w:kern w:val="0"/>
                <w:sz w:val="16"/>
                <w:szCs w:val="16"/>
                <w:lang w:val="it-IT" w:bidi="ar-SA"/>
              </w:rPr>
              <w:t>MONDO</w:t>
            </w:r>
          </w:p>
        </w:tc>
        <w:tc>
          <w:tcPr>
            <w:tcW w:w="1391"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424.966.836</w:t>
            </w:r>
          </w:p>
        </w:tc>
        <w:tc>
          <w:tcPr>
            <w:tcW w:w="1955"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452.884.030</w:t>
            </w:r>
          </w:p>
        </w:tc>
        <w:tc>
          <w:tcPr>
            <w:tcW w:w="1474"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6,6%</w:t>
            </w:r>
          </w:p>
        </w:tc>
      </w:tr>
    </w:tbl>
    <w:p>
      <w:pPr>
        <w:pStyle w:val="Normal"/>
        <w:spacing w:before="0" w:after="0"/>
        <w:rPr>
          <w:sz w:val="16"/>
          <w:szCs w:val="16"/>
        </w:rPr>
      </w:pPr>
      <w:r>
        <w:rPr>
          <w:sz w:val="16"/>
          <w:szCs w:val="16"/>
        </w:rPr>
        <w:t>Fonte: Istat, Coeweb</w:t>
      </w:r>
    </w:p>
    <w:p>
      <w:pPr>
        <w:pStyle w:val="Normal"/>
        <w:spacing w:before="0" w:after="0"/>
        <w:rPr>
          <w:sz w:val="16"/>
          <w:szCs w:val="16"/>
        </w:rPr>
      </w:pPr>
      <w:r>
        <w:rPr>
          <w:sz w:val="16"/>
          <w:szCs w:val="16"/>
        </w:rPr>
        <w:t>Elaborazione: Ufficio Studi e statistica, Camera di Commercio delle Marche</w:t>
      </w:r>
    </w:p>
    <w:p>
      <w:pPr>
        <w:pStyle w:val="Normal"/>
        <w:spacing w:before="0" w:after="0"/>
        <w:rPr>
          <w:sz w:val="16"/>
          <w:szCs w:val="16"/>
        </w:rPr>
      </w:pPr>
      <w:r>
        <w:rPr>
          <w:sz w:val="16"/>
          <w:szCs w:val="16"/>
        </w:rPr>
      </w:r>
    </w:p>
    <w:p>
      <w:pPr>
        <w:pStyle w:val="Normal"/>
        <w:rPr/>
      </w:pPr>
      <w:r>
        <w:rPr>
          <w:b/>
        </w:rPr>
        <w:t>Tra le aree geografiche di rilievo, sebbene non paragonabili per valore all’Europa</w:t>
      </w:r>
      <w:r>
        <w:rPr/>
        <w:t xml:space="preserve">, </w:t>
      </w:r>
      <w:r>
        <w:rPr>
          <w:b/>
        </w:rPr>
        <w:t xml:space="preserve">si segnalano ancora il Medio Oriente </w:t>
      </w:r>
      <w:r>
        <w:rPr/>
        <w:t xml:space="preserve">(42,9 milioni di euro; in consistente calo -28,2%%), </w:t>
      </w:r>
      <w:r>
        <w:rPr>
          <w:b/>
        </w:rPr>
        <w:t>l’America settentrionale</w:t>
      </w:r>
      <w:r>
        <w:rPr/>
        <w:t xml:space="preserve"> (38,3 milioni di euro; stabile rispetto al 2020) e </w:t>
      </w:r>
      <w:r>
        <w:rPr>
          <w:b/>
        </w:rPr>
        <w:t>l’Asia orientale</w:t>
      </w:r>
      <w:r>
        <w:rPr/>
        <w:t xml:space="preserve"> (30,7 milioni di euro; +10,3%). </w:t>
      </w:r>
    </w:p>
    <w:p>
      <w:pPr>
        <w:pStyle w:val="Normal"/>
        <w:rPr/>
      </w:pPr>
      <w:r>
        <w:rPr/>
      </w:r>
    </w:p>
    <w:p>
      <w:pPr>
        <w:pStyle w:val="Titolo2"/>
        <w:numPr>
          <w:ilvl w:val="0"/>
          <w:numId w:val="0"/>
        </w:numPr>
        <w:ind w:left="0" w:hanging="0"/>
        <w:rPr/>
      </w:pPr>
      <w:r>
        <w:rPr/>
        <w:t xml:space="preserve">     </w:t>
      </w:r>
      <w:r>
        <w:rPr/>
        <w:t>L’andamento del settore agroalimentare marchigiano in avvio del 2022</w:t>
      </w:r>
    </w:p>
    <w:p>
      <w:pPr>
        <w:pStyle w:val="Normal"/>
        <w:spacing w:before="0" w:after="0"/>
        <w:rPr/>
      </w:pPr>
      <w:r>
        <w:rPr>
          <w:b/>
        </w:rPr>
        <w:t>Nel primo trimestre del 2022 i dati provvisori sulle esportazioni marchigiane in valori correnti indicano un valore di 126,9 milioni di euro di esportazioni di prodotti agroalimentari, con una crescita di +23,1% rispetto al primo trimestre del 2021</w:t>
      </w:r>
      <w:r>
        <w:rPr/>
        <w:t xml:space="preserve">. </w:t>
      </w:r>
    </w:p>
    <w:p>
      <w:pPr>
        <w:pStyle w:val="Normal"/>
        <w:spacing w:before="0" w:after="0"/>
        <w:rPr/>
      </w:pPr>
      <w:r>
        <w:rPr/>
      </w:r>
    </w:p>
    <w:p>
      <w:pPr>
        <w:pStyle w:val="Normal"/>
        <w:spacing w:before="0" w:after="0"/>
        <w:rPr>
          <w:b/>
          <w:b/>
          <w:bCs/>
        </w:rPr>
      </w:pPr>
      <w:r>
        <w:rPr>
          <w:b/>
          <w:bCs/>
        </w:rPr>
        <w:t>Marche – Esportazioni di prodotti agroalimentari, primo trimestre 2021  e 2022</w:t>
      </w:r>
    </w:p>
    <w:p>
      <w:pPr>
        <w:pStyle w:val="Normal"/>
        <w:spacing w:before="0" w:after="0"/>
        <w:rPr/>
      </w:pPr>
      <w:r>
        <w:rPr/>
        <w:t>Valori assoluti in euro e variazione percentuale</w:t>
      </w:r>
    </w:p>
    <w:tbl>
      <w:tblPr>
        <w:tblStyle w:val="Grigliatabella"/>
        <w:tblW w:w="8073" w:type="dxa"/>
        <w:jc w:val="left"/>
        <w:tblInd w:w="0" w:type="dxa"/>
        <w:tblLayout w:type="fixed"/>
        <w:tblCellMar>
          <w:top w:w="0" w:type="dxa"/>
          <w:left w:w="108" w:type="dxa"/>
          <w:bottom w:w="0" w:type="dxa"/>
          <w:right w:w="108" w:type="dxa"/>
        </w:tblCellMar>
        <w:tblLook w:val="04a0"/>
      </w:tblPr>
      <w:tblGrid>
        <w:gridCol w:w="4219"/>
        <w:gridCol w:w="1418"/>
        <w:gridCol w:w="1417"/>
        <w:gridCol w:w="1018"/>
      </w:tblGrid>
      <w:tr>
        <w:trPr/>
        <w:tc>
          <w:tcPr>
            <w:tcW w:w="4219" w:type="dxa"/>
            <w:tcBorders/>
            <w:vAlign w:val="center"/>
          </w:tcPr>
          <w:p>
            <w:pPr>
              <w:pStyle w:val="Normal"/>
              <w:widowControl w:val="false"/>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1418"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2021  gen-mar</w:t>
            </w:r>
          </w:p>
          <w:p>
            <w:pPr>
              <w:pStyle w:val="Normal"/>
              <w:widowControl w:val="false"/>
              <w:suppressAutoHyphens w:val="true"/>
              <w:jc w:val="right"/>
              <w:rPr>
                <w:rFonts w:cs="Arial"/>
                <w:b/>
                <w:b/>
                <w:bCs/>
                <w:color w:val="000000"/>
                <w:sz w:val="16"/>
                <w:szCs w:val="16"/>
              </w:rPr>
            </w:pPr>
            <w:r>
              <w:rPr>
                <w:rFonts w:eastAsia="Cambria" w:cs="Arial"/>
                <w:b/>
                <w:bCs/>
                <w:color w:val="000000"/>
                <w:kern w:val="0"/>
                <w:sz w:val="16"/>
                <w:szCs w:val="16"/>
                <w:lang w:val="it-IT" w:bidi="ar-SA"/>
              </w:rPr>
              <w:t>provvisorio</w:t>
            </w:r>
          </w:p>
        </w:tc>
        <w:tc>
          <w:tcPr>
            <w:tcW w:w="1417"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2022  gen-mar</w:t>
            </w:r>
          </w:p>
          <w:p>
            <w:pPr>
              <w:pStyle w:val="Normal"/>
              <w:widowControl w:val="false"/>
              <w:suppressAutoHyphens w:val="true"/>
              <w:jc w:val="right"/>
              <w:rPr>
                <w:rFonts w:cs="Arial"/>
                <w:b/>
                <w:b/>
                <w:bCs/>
                <w:color w:val="000000"/>
                <w:sz w:val="16"/>
                <w:szCs w:val="16"/>
              </w:rPr>
            </w:pPr>
            <w:r>
              <w:rPr>
                <w:rFonts w:eastAsia="Cambria" w:cs="Arial"/>
                <w:b/>
                <w:bCs/>
                <w:color w:val="000000"/>
                <w:kern w:val="0"/>
                <w:sz w:val="16"/>
                <w:szCs w:val="16"/>
                <w:lang w:val="it-IT" w:bidi="ar-SA"/>
              </w:rPr>
              <w:t>provvisorio</w:t>
            </w:r>
          </w:p>
        </w:tc>
        <w:tc>
          <w:tcPr>
            <w:tcW w:w="1018" w:type="dxa"/>
            <w:tcBorders/>
            <w:vAlign w:val="center"/>
          </w:tcPr>
          <w:p>
            <w:pPr>
              <w:pStyle w:val="Normal"/>
              <w:widowControl w:val="false"/>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 xml:space="preserve">Var. % </w:t>
            </w:r>
          </w:p>
        </w:tc>
      </w:tr>
      <w:tr>
        <w:trPr/>
        <w:tc>
          <w:tcPr>
            <w:tcW w:w="4219"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Prodotti dell'agricoltura, della silvicoltura e della pesca</w:t>
            </w:r>
          </w:p>
        </w:tc>
        <w:tc>
          <w:tcPr>
            <w:tcW w:w="1418"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25.841.557</w:t>
            </w:r>
          </w:p>
        </w:tc>
        <w:tc>
          <w:tcPr>
            <w:tcW w:w="1417"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35.485.857</w:t>
            </w:r>
          </w:p>
        </w:tc>
        <w:tc>
          <w:tcPr>
            <w:tcW w:w="1018"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37,3%</w:t>
            </w:r>
          </w:p>
        </w:tc>
      </w:tr>
      <w:tr>
        <w:trPr/>
        <w:tc>
          <w:tcPr>
            <w:tcW w:w="4219" w:type="dxa"/>
            <w:tcBorders/>
            <w:vAlign w:val="center"/>
          </w:tcPr>
          <w:p>
            <w:pPr>
              <w:pStyle w:val="Normal"/>
              <w:widowControl w:val="false"/>
              <w:suppressAutoHyphens w:val="true"/>
              <w:spacing w:before="60" w:after="0"/>
              <w:rPr>
                <w:rFonts w:cs="Arial"/>
                <w:bCs/>
                <w:color w:val="000000"/>
                <w:sz w:val="16"/>
                <w:szCs w:val="16"/>
              </w:rPr>
            </w:pPr>
            <w:r>
              <w:rPr>
                <w:rFonts w:eastAsia="Cambria" w:cs="Arial"/>
                <w:bCs/>
                <w:color w:val="000000"/>
                <w:kern w:val="0"/>
                <w:sz w:val="16"/>
                <w:szCs w:val="16"/>
                <w:lang w:val="it-IT" w:bidi="ar-SA"/>
              </w:rPr>
              <w:t>Prodotti alimentari, bevande e tabacco</w:t>
            </w:r>
          </w:p>
        </w:tc>
        <w:tc>
          <w:tcPr>
            <w:tcW w:w="1418"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77.228.034</w:t>
            </w:r>
          </w:p>
        </w:tc>
        <w:tc>
          <w:tcPr>
            <w:tcW w:w="1417"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91.376.960</w:t>
            </w:r>
          </w:p>
        </w:tc>
        <w:tc>
          <w:tcPr>
            <w:tcW w:w="1018" w:type="dxa"/>
            <w:tcBorders/>
            <w:vAlign w:val="bottom"/>
          </w:tcPr>
          <w:p>
            <w:pPr>
              <w:pStyle w:val="Normal"/>
              <w:widowControl w:val="false"/>
              <w:suppressAutoHyphens w:val="true"/>
              <w:spacing w:before="60" w:after="0"/>
              <w:jc w:val="right"/>
              <w:rPr>
                <w:rFonts w:cs="Arial"/>
                <w:color w:val="000000"/>
                <w:sz w:val="16"/>
                <w:szCs w:val="16"/>
              </w:rPr>
            </w:pPr>
            <w:r>
              <w:rPr>
                <w:rFonts w:eastAsia="Cambria" w:cs="Arial"/>
                <w:color w:val="000000"/>
                <w:kern w:val="0"/>
                <w:sz w:val="16"/>
                <w:szCs w:val="16"/>
                <w:lang w:val="it-IT" w:bidi="ar-SA"/>
              </w:rPr>
              <w:t>18,3%</w:t>
            </w:r>
          </w:p>
        </w:tc>
      </w:tr>
      <w:tr>
        <w:trPr/>
        <w:tc>
          <w:tcPr>
            <w:tcW w:w="4219" w:type="dxa"/>
            <w:tcBorders/>
            <w:vAlign w:val="center"/>
          </w:tcPr>
          <w:p>
            <w:pPr>
              <w:pStyle w:val="Normal"/>
              <w:widowControl w:val="false"/>
              <w:suppressAutoHyphens w:val="true"/>
              <w:spacing w:before="60" w:after="0"/>
              <w:rPr>
                <w:rFonts w:cs="Arial"/>
                <w:b/>
                <w:b/>
                <w:bCs/>
                <w:color w:val="000000"/>
                <w:sz w:val="16"/>
                <w:szCs w:val="16"/>
              </w:rPr>
            </w:pPr>
            <w:r>
              <w:rPr>
                <w:rFonts w:eastAsia="Cambria" w:cs="Arial"/>
                <w:b/>
                <w:bCs/>
                <w:color w:val="000000"/>
                <w:kern w:val="0"/>
                <w:sz w:val="16"/>
                <w:szCs w:val="16"/>
                <w:lang w:val="it-IT" w:bidi="ar-SA"/>
              </w:rPr>
              <w:t>Totale agroalimentare</w:t>
            </w:r>
          </w:p>
        </w:tc>
        <w:tc>
          <w:tcPr>
            <w:tcW w:w="1418"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103.069.591</w:t>
            </w:r>
          </w:p>
        </w:tc>
        <w:tc>
          <w:tcPr>
            <w:tcW w:w="1417"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126.862.817</w:t>
            </w:r>
          </w:p>
        </w:tc>
        <w:tc>
          <w:tcPr>
            <w:tcW w:w="1018" w:type="dxa"/>
            <w:tcBorders/>
            <w:vAlign w:val="bottom"/>
          </w:tcPr>
          <w:p>
            <w:pPr>
              <w:pStyle w:val="Normal"/>
              <w:widowControl w:val="false"/>
              <w:suppressAutoHyphens w:val="true"/>
              <w:spacing w:before="60" w:after="0"/>
              <w:jc w:val="right"/>
              <w:rPr>
                <w:rFonts w:cs="Arial"/>
                <w:b/>
                <w:b/>
                <w:color w:val="000000"/>
                <w:sz w:val="16"/>
                <w:szCs w:val="16"/>
              </w:rPr>
            </w:pPr>
            <w:r>
              <w:rPr>
                <w:rFonts w:eastAsia="Cambria" w:cs="Arial"/>
                <w:b/>
                <w:color w:val="000000"/>
                <w:kern w:val="0"/>
                <w:sz w:val="16"/>
                <w:szCs w:val="16"/>
                <w:lang w:val="it-IT" w:bidi="ar-SA"/>
              </w:rPr>
              <w:t>23,1%</w:t>
            </w:r>
          </w:p>
        </w:tc>
      </w:tr>
    </w:tbl>
    <w:p>
      <w:pPr>
        <w:pStyle w:val="Normal"/>
        <w:spacing w:before="0" w:after="0"/>
        <w:rPr>
          <w:sz w:val="16"/>
          <w:szCs w:val="16"/>
        </w:rPr>
      </w:pPr>
      <w:r>
        <w:rPr>
          <w:sz w:val="16"/>
          <w:szCs w:val="16"/>
        </w:rPr>
        <w:t>Fonte: Istat, Coeweb</w:t>
      </w:r>
    </w:p>
    <w:p>
      <w:pPr>
        <w:pStyle w:val="Normal"/>
        <w:spacing w:before="0" w:after="0"/>
        <w:rPr>
          <w:sz w:val="16"/>
          <w:szCs w:val="16"/>
        </w:rPr>
      </w:pPr>
      <w:r>
        <w:rPr>
          <w:sz w:val="16"/>
          <w:szCs w:val="16"/>
        </w:rPr>
        <w:t>Elaborazione: Ufficio Studi e statistica, Camera di Commercio delle Marche</w:t>
      </w:r>
    </w:p>
    <w:p>
      <w:pPr>
        <w:pStyle w:val="Normal"/>
        <w:spacing w:before="0" w:after="0"/>
        <w:rPr/>
      </w:pPr>
      <w:r>
        <w:rPr/>
      </w:r>
    </w:p>
    <w:p>
      <w:pPr>
        <w:pStyle w:val="Normal"/>
        <w:spacing w:before="0" w:after="0"/>
        <w:rPr/>
      </w:pPr>
      <w:r>
        <w:rPr/>
      </w:r>
    </w:p>
    <w:p>
      <w:pPr>
        <w:pStyle w:val="Normal"/>
        <w:spacing w:before="0" w:after="0"/>
        <w:rPr/>
      </w:pPr>
      <w:r>
        <w:rPr>
          <w:b/>
        </w:rPr>
        <w:t>Tale consistente incremento</w:t>
      </w:r>
      <w:r>
        <w:rPr/>
        <w:t>, inferiore rispetto a quello delle esportazioni regionali complessive (+39,9%) sul quale ha inciso notevolmente la fortissima fluttuazione favorevole delle esportazioni di prodotti farmaceutici, chimico-medicinali e botanici</w:t>
      </w:r>
      <w:r>
        <w:rPr>
          <w:rStyle w:val="Richiamoallanotaapidipagina"/>
          <w:b/>
        </w:rPr>
        <w:footnoteReference w:id="4"/>
      </w:r>
      <w:r>
        <w:rPr>
          <w:b/>
        </w:rPr>
        <w:t>, si articola in una crescita delle vendite all’estero di prodotti agricoli, della silvicoltura e della pesca, che raggiungono il valore di 35,5 milioni di euro (+37,3%</w:t>
      </w:r>
      <w:r>
        <w:rPr/>
        <w:t xml:space="preserve"> rispetto allo stesso periodo dell’anno precedente), alla quale si affianca la componente più rilevante, quella dei </w:t>
      </w:r>
      <w:r>
        <w:rPr>
          <w:b/>
        </w:rPr>
        <w:t>prodotti di trasformazione manifatturiera dell’alimentare, bevande e tabacco, che nel periodo gennaio-marzo di quest’anno si attestano a 91,4 milioni di euro (+18,3%)</w:t>
      </w:r>
      <w:r>
        <w:rPr/>
        <w:t xml:space="preserve">. </w:t>
      </w:r>
    </w:p>
    <w:p>
      <w:pPr>
        <w:pStyle w:val="Normal"/>
        <w:spacing w:before="0" w:after="0"/>
        <w:rPr/>
      </w:pPr>
      <w:r>
        <w:rPr/>
        <w:t>Per l’Italia, al contrario, è quest’ultima componente, a crescere maggiormente (+21,6%), mentre quella dei prodotti del settore primario fa rilevare una variazione tendenziale pari a +10,6%. Nel complesso dell’agroalimentare italiano la variazione tendenziale del primo trimestre è pari a +19,6%.</w:t>
      </w:r>
    </w:p>
    <w:p>
      <w:pPr>
        <w:pStyle w:val="Normal"/>
        <w:spacing w:before="0" w:after="0"/>
        <w:rPr/>
      </w:pPr>
      <w:r>
        <w:rPr/>
      </w:r>
    </w:p>
    <w:p>
      <w:pPr>
        <w:pStyle w:val="Normal"/>
        <w:spacing w:before="0" w:after="0"/>
        <w:rPr/>
      </w:pPr>
      <w:r>
        <w:rPr/>
      </w:r>
    </w:p>
    <w:p>
      <w:pPr>
        <w:pStyle w:val="Normal"/>
        <w:spacing w:before="0" w:after="0"/>
        <w:rPr/>
      </w:pPr>
      <w:r>
        <w:rPr>
          <w:b/>
        </w:rPr>
        <w:t>Tutte le province marchigiane hanno fatto riscontrare una crescita tendenziale</w:t>
      </w:r>
      <w:r>
        <w:rPr/>
        <w:t xml:space="preserve"> a doppia cifra delle esportazioni di prodotti agroalimentari nel primo trimestre del 2022, con valori assoluti che variano dai 39,2 milioni di euro per quella di Ancona, scendendo fino ai 24,8 di Ascoli Piceno. Solamente a Fermo l’agroalimentare fa riscontrare esportazioni modeste (appena 4,3 milioni di euro). </w:t>
      </w:r>
    </w:p>
    <w:p>
      <w:pPr>
        <w:pStyle w:val="Normal"/>
        <w:spacing w:before="0" w:after="0"/>
        <w:rPr/>
      </w:pPr>
      <w:r>
        <w:rPr/>
      </w:r>
    </w:p>
    <w:p>
      <w:pPr>
        <w:pStyle w:val="Normal"/>
        <w:spacing w:before="0" w:after="0"/>
        <w:rPr>
          <w:b/>
          <w:b/>
        </w:rPr>
      </w:pPr>
      <w:r>
        <w:rPr>
          <w:b/>
        </w:rPr>
        <w:t>Esportazioni agroalimentari delle Marche per provincia</w:t>
      </w:r>
    </w:p>
    <w:p>
      <w:pPr>
        <w:pStyle w:val="Normal"/>
        <w:spacing w:before="0" w:after="0"/>
        <w:rPr/>
      </w:pPr>
      <w:r>
        <w:rPr/>
        <w:t>Valori assoluti in euro– primo trimestre 2022</w:t>
      </w:r>
    </w:p>
    <w:p>
      <w:pPr>
        <w:pStyle w:val="Normal"/>
        <w:spacing w:before="0" w:after="0"/>
        <w:rPr/>
      </w:pPr>
      <w:r>
        <w:rPr/>
        <w:drawing>
          <wp:inline distT="0" distB="0" distL="0" distR="0">
            <wp:extent cx="3385820" cy="2037715"/>
            <wp:effectExtent l="0" t="0" r="0" b="0"/>
            <wp:docPr id="5"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4" descr=""/>
                    <pic:cNvPicPr>
                      <a:picLocks noChangeAspect="1" noChangeArrowheads="1"/>
                    </pic:cNvPicPr>
                  </pic:nvPicPr>
                  <pic:blipFill>
                    <a:blip r:embed="rId6"/>
                    <a:stretch>
                      <a:fillRect/>
                    </a:stretch>
                  </pic:blipFill>
                  <pic:spPr bwMode="auto">
                    <a:xfrm>
                      <a:off x="0" y="0"/>
                      <a:ext cx="3385820" cy="2037715"/>
                    </a:xfrm>
                    <a:prstGeom prst="rect">
                      <a:avLst/>
                    </a:prstGeom>
                  </pic:spPr>
                </pic:pic>
              </a:graphicData>
            </a:graphic>
          </wp:inline>
        </w:drawing>
      </w:r>
    </w:p>
    <w:p>
      <w:pPr>
        <w:pStyle w:val="Normal"/>
        <w:spacing w:before="0" w:after="0"/>
        <w:rPr>
          <w:sz w:val="16"/>
          <w:szCs w:val="16"/>
        </w:rPr>
      </w:pPr>
      <w:r>
        <w:rPr>
          <w:sz w:val="16"/>
          <w:szCs w:val="16"/>
        </w:rPr>
        <w:t>Fonte: Istat, Coeweb</w:t>
      </w:r>
    </w:p>
    <w:p>
      <w:pPr>
        <w:pStyle w:val="Normal"/>
        <w:spacing w:before="0" w:after="0"/>
        <w:rPr>
          <w:sz w:val="16"/>
          <w:szCs w:val="16"/>
        </w:rPr>
      </w:pPr>
      <w:r>
        <w:rPr>
          <w:sz w:val="16"/>
          <w:szCs w:val="16"/>
        </w:rPr>
        <w:t>Elaborazione: Ufficio Studi e statistica, Camera di Commercio delle Marche</w:t>
      </w:r>
    </w:p>
    <w:p>
      <w:pPr>
        <w:pStyle w:val="Normal"/>
        <w:spacing w:before="0" w:after="0"/>
        <w:rPr/>
      </w:pPr>
      <w:r>
        <w:rPr/>
      </w:r>
    </w:p>
    <w:p>
      <w:pPr>
        <w:pStyle w:val="Normal"/>
        <w:spacing w:before="0" w:after="0"/>
        <w:rPr/>
      </w:pPr>
      <w:r>
        <w:rPr/>
        <w:t>I dati del primo trimestre del 2022 confermano la caratteristica delle esportazioni agroalimentari marchigiane, orientate principalmente alla vendita all’estero dei prodotti trasformati: prodotti alimentari e bevande, frutto della produzione manifatturiera, pesano infatti nel trimestre in esame per il 72%, a fronte della quota del 28% coperta dai prodotti del settore primario.</w:t>
      </w:r>
    </w:p>
    <w:p>
      <w:pPr>
        <w:pStyle w:val="Normal"/>
        <w:spacing w:before="0" w:after="0"/>
        <w:rPr/>
      </w:pPr>
      <w:r>
        <w:rPr/>
      </w:r>
    </w:p>
    <w:p>
      <w:pPr>
        <w:pStyle w:val="Normal"/>
        <w:spacing w:before="0" w:after="0"/>
        <w:rPr/>
      </w:pPr>
      <w:r>
        <w:rPr/>
        <w:t>Tra i prodotti del settore primario spiccano sempre le vendite all’estero delle colture agricole non permanenti, 17,4 milioni di euro nel gennaio-marzo 2022 per una variazione di +160,2% nel confronto con il primo trimestre 2021 % (il cui valore era tuttavia relativamente contenuto, anche rispetto agli anni precedenti), e i prodotti della pesca e dell’acquacoltura, per un valore di 12,4 milioni di euro, ma in calo del -20,4.</w:t>
      </w:r>
    </w:p>
    <w:p>
      <w:pPr>
        <w:pStyle w:val="Normal"/>
        <w:spacing w:before="0" w:after="0"/>
        <w:rPr/>
      </w:pPr>
      <w:r>
        <w:rPr/>
        <w:t>Per quello che riguarda poi i prodotti di trasformazione dell’industria alimentare, delle bevande e del tabacco, vanno evidenziati ancora una volta gli altri prodotti alimentari (26,3 milioni di euro; +37%), le bevande, che sfiorano il 19 milioni di euro (+55,6%), i prodotti da forno e farinacei (13,9 milioni di euro; +12,9%), oltre che carne lavorata e conservata e prodotti a base di carne (11,2 milioni di euro; +36,4%), frutta e ortaggi lavorati e conservati (9,2 milioni di euro; 23,6%) e i prodotti delle industrie lattiero-casearie (5,7 milioni di euro;  46,8%).</w:t>
      </w:r>
    </w:p>
    <w:p>
      <w:pPr>
        <w:pStyle w:val="Normal"/>
        <w:spacing w:before="0" w:after="0"/>
        <w:rPr/>
      </w:pPr>
      <w:r>
        <w:rPr/>
      </w:r>
    </w:p>
    <w:p>
      <w:pPr>
        <w:pStyle w:val="Normal"/>
        <w:spacing w:before="0" w:after="0"/>
        <w:rPr/>
      </w:pPr>
      <w:r>
        <w:rPr/>
        <w:t>Si conferma rilevante la quota di esportazioni agroalimentari marchigiane assorbita dall’Europa (68%, corrispondente a 86,2 milioni di euro), con la netta prevalenza della UE a 27 Paesi post Brexit (66,4 milioni di euro; +19,5% di crescita su base annua) rispetto ai Paesi europei non Ue (19,8 milioni di euro; +32,9%); intensa è la crescita, nel periodo in esame, del mercato nordamericano (+51,5%, grazie ad un valore di 13,2 milioni di euro, il 10,4% delle esportazioni agroalimentari marchigiane del periodo), preceduto comunque dal Medio Oriente (15,4 milioni di euro; +15,8% l’incremento su base annua).</w:t>
      </w:r>
    </w:p>
    <w:p>
      <w:pPr>
        <w:pStyle w:val="Normal"/>
        <w:spacing w:before="0" w:after="0"/>
        <w:rPr/>
      </w:pPr>
      <w:r>
        <w:rPr/>
      </w:r>
    </w:p>
    <w:p>
      <w:pPr>
        <w:pStyle w:val="Normal"/>
        <w:spacing w:before="0" w:after="0"/>
        <w:rPr>
          <w:b/>
          <w:b/>
        </w:rPr>
      </w:pPr>
      <w:r>
        <w:rPr>
          <w:b/>
        </w:rPr>
        <w:t xml:space="preserve">Marche – esportazioni del settore agroalimentare per Paesi – primo trimestre dell’anno </w:t>
      </w:r>
    </w:p>
    <w:p>
      <w:pPr>
        <w:pStyle w:val="Normal"/>
        <w:spacing w:before="0" w:after="0"/>
        <w:rPr/>
      </w:pPr>
      <w:r>
        <w:rPr/>
        <w:t>(ordine decrescente in base al valore del primo trimestre 2022 – primi 10 Paesi) - Valori assoluti in euro</w:t>
      </w:r>
    </w:p>
    <w:tbl>
      <w:tblPr>
        <w:tblStyle w:val="Grigliatabella"/>
        <w:tblW w:w="9930" w:type="dxa"/>
        <w:jc w:val="left"/>
        <w:tblInd w:w="0" w:type="dxa"/>
        <w:tblLayout w:type="fixed"/>
        <w:tblCellMar>
          <w:top w:w="0" w:type="dxa"/>
          <w:left w:w="108" w:type="dxa"/>
          <w:bottom w:w="0" w:type="dxa"/>
          <w:right w:w="108" w:type="dxa"/>
        </w:tblCellMar>
        <w:tblLook w:val="04a0"/>
      </w:tblPr>
      <w:tblGrid>
        <w:gridCol w:w="1126"/>
        <w:gridCol w:w="1107"/>
        <w:gridCol w:w="1155"/>
        <w:gridCol w:w="1238"/>
        <w:gridCol w:w="235"/>
        <w:gridCol w:w="1602"/>
        <w:gridCol w:w="1155"/>
        <w:gridCol w:w="1156"/>
        <w:gridCol w:w="1155"/>
      </w:tblGrid>
      <w:tr>
        <w:trPr/>
        <w:tc>
          <w:tcPr>
            <w:tcW w:w="1126" w:type="dxa"/>
            <w:tcBorders/>
            <w:vAlign w:val="center"/>
          </w:tcPr>
          <w:p>
            <w:pPr>
              <w:pStyle w:val="Normal"/>
              <w:widowControl/>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3500" w:type="dxa"/>
            <w:gridSpan w:val="3"/>
            <w:tcBorders/>
            <w:vAlign w:val="center"/>
          </w:tcPr>
          <w:p>
            <w:pPr>
              <w:pStyle w:val="Normal"/>
              <w:widowControl/>
              <w:suppressAutoHyphens w:val="true"/>
              <w:spacing w:before="60" w:after="0"/>
              <w:jc w:val="center"/>
              <w:rPr>
                <w:rFonts w:cs="Arial"/>
                <w:b/>
                <w:b/>
                <w:bCs/>
                <w:color w:val="000000"/>
                <w:sz w:val="16"/>
                <w:szCs w:val="16"/>
              </w:rPr>
            </w:pPr>
            <w:r>
              <w:rPr>
                <w:rFonts w:eastAsia="Cambria" w:cs="Arial"/>
                <w:b/>
                <w:bCs/>
                <w:color w:val="000000"/>
                <w:kern w:val="0"/>
                <w:sz w:val="16"/>
                <w:szCs w:val="16"/>
                <w:lang w:val="it-IT" w:bidi="ar-SA"/>
              </w:rPr>
              <w:t>Prodotti dell'agricoltura, della silvicoltura</w:t>
            </w:r>
          </w:p>
          <w:p>
            <w:pPr>
              <w:pStyle w:val="Normal"/>
              <w:widowControl/>
              <w:suppressAutoHyphens w:val="true"/>
              <w:jc w:val="center"/>
              <w:rPr>
                <w:rFonts w:cs="Arial"/>
                <w:b/>
                <w:b/>
                <w:bCs/>
                <w:color w:val="000000"/>
                <w:sz w:val="16"/>
                <w:szCs w:val="16"/>
              </w:rPr>
            </w:pPr>
            <w:r>
              <w:rPr>
                <w:rFonts w:eastAsia="Cambria" w:cs="Arial"/>
                <w:b/>
                <w:bCs/>
                <w:color w:val="000000"/>
                <w:kern w:val="0"/>
                <w:sz w:val="16"/>
                <w:szCs w:val="16"/>
                <w:lang w:val="it-IT" w:bidi="ar-SA"/>
              </w:rPr>
              <w:t>e della pesca</w:t>
            </w:r>
          </w:p>
        </w:tc>
        <w:tc>
          <w:tcPr>
            <w:tcW w:w="235" w:type="dxa"/>
            <w:tcBorders/>
          </w:tcPr>
          <w:p>
            <w:pPr>
              <w:pStyle w:val="Normal"/>
              <w:widowControl/>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1602" w:type="dxa"/>
            <w:tcBorders/>
            <w:vAlign w:val="center"/>
          </w:tcPr>
          <w:p>
            <w:pPr>
              <w:pStyle w:val="Normal"/>
              <w:widowControl/>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3466" w:type="dxa"/>
            <w:gridSpan w:val="3"/>
            <w:tcBorders/>
            <w:vAlign w:val="center"/>
          </w:tcPr>
          <w:p>
            <w:pPr>
              <w:pStyle w:val="Normal"/>
              <w:widowControl/>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Prodotti alimentari, bevande e tabacco</w:t>
            </w:r>
          </w:p>
        </w:tc>
      </w:tr>
      <w:tr>
        <w:trPr/>
        <w:tc>
          <w:tcPr>
            <w:tcW w:w="1126" w:type="dxa"/>
            <w:tcBorders/>
            <w:vAlign w:val="center"/>
          </w:tcPr>
          <w:p>
            <w:pPr>
              <w:pStyle w:val="Normal"/>
              <w:widowControl/>
              <w:suppressAutoHyphens w:val="true"/>
              <w:spacing w:before="60" w:after="0"/>
              <w:rPr>
                <w:rFonts w:cs="Arial"/>
                <w:b/>
                <w:b/>
                <w:bCs/>
                <w:color w:val="000000"/>
                <w:sz w:val="16"/>
                <w:szCs w:val="16"/>
              </w:rPr>
            </w:pPr>
            <w:r>
              <w:rPr>
                <w:rFonts w:eastAsia="Cambria" w:cs="Arial"/>
                <w:b/>
                <w:bCs/>
                <w:color w:val="000000"/>
                <w:kern w:val="0"/>
                <w:sz w:val="16"/>
                <w:szCs w:val="16"/>
                <w:lang w:val="it-IT" w:bidi="ar-SA"/>
              </w:rPr>
              <w:t>PAESI</w:t>
            </w:r>
          </w:p>
        </w:tc>
        <w:tc>
          <w:tcPr>
            <w:tcW w:w="1107" w:type="dxa"/>
            <w:tcBorders/>
            <w:vAlign w:val="center"/>
          </w:tcPr>
          <w:p>
            <w:pPr>
              <w:pStyle w:val="Normal"/>
              <w:widowControl/>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2020</w:t>
            </w:r>
          </w:p>
        </w:tc>
        <w:tc>
          <w:tcPr>
            <w:tcW w:w="1155" w:type="dxa"/>
            <w:tcBorders/>
            <w:vAlign w:val="center"/>
          </w:tcPr>
          <w:p>
            <w:pPr>
              <w:pStyle w:val="Normal"/>
              <w:widowControl/>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2021</w:t>
            </w:r>
          </w:p>
        </w:tc>
        <w:tc>
          <w:tcPr>
            <w:tcW w:w="1238" w:type="dxa"/>
            <w:tcBorders/>
            <w:vAlign w:val="center"/>
          </w:tcPr>
          <w:p>
            <w:pPr>
              <w:pStyle w:val="Normal"/>
              <w:widowControl/>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2022</w:t>
            </w:r>
          </w:p>
        </w:tc>
        <w:tc>
          <w:tcPr>
            <w:tcW w:w="235" w:type="dxa"/>
            <w:tcBorders/>
          </w:tcPr>
          <w:p>
            <w:pPr>
              <w:pStyle w:val="Normal"/>
              <w:widowControl/>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1602" w:type="dxa"/>
            <w:tcBorders/>
            <w:vAlign w:val="center"/>
          </w:tcPr>
          <w:p>
            <w:pPr>
              <w:pStyle w:val="Normal"/>
              <w:widowControl/>
              <w:suppressAutoHyphens w:val="true"/>
              <w:spacing w:before="60" w:after="0"/>
              <w:rPr>
                <w:rFonts w:cs="Arial"/>
                <w:b/>
                <w:b/>
                <w:bCs/>
                <w:color w:val="000000"/>
                <w:sz w:val="16"/>
                <w:szCs w:val="16"/>
              </w:rPr>
            </w:pPr>
            <w:r>
              <w:rPr>
                <w:rFonts w:eastAsia="Cambria" w:cs="Arial"/>
                <w:b/>
                <w:bCs/>
                <w:color w:val="000000"/>
                <w:kern w:val="0"/>
                <w:sz w:val="16"/>
                <w:szCs w:val="16"/>
                <w:lang w:val="it-IT" w:bidi="ar-SA"/>
              </w:rPr>
              <w:t>PAESI</w:t>
            </w:r>
          </w:p>
        </w:tc>
        <w:tc>
          <w:tcPr>
            <w:tcW w:w="1155" w:type="dxa"/>
            <w:tcBorders/>
            <w:vAlign w:val="center"/>
          </w:tcPr>
          <w:p>
            <w:pPr>
              <w:pStyle w:val="Normal"/>
              <w:widowControl/>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2020</w:t>
            </w:r>
          </w:p>
        </w:tc>
        <w:tc>
          <w:tcPr>
            <w:tcW w:w="1156" w:type="dxa"/>
            <w:tcBorders/>
            <w:vAlign w:val="center"/>
          </w:tcPr>
          <w:p>
            <w:pPr>
              <w:pStyle w:val="Normal"/>
              <w:widowControl/>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2021</w:t>
            </w:r>
          </w:p>
        </w:tc>
        <w:tc>
          <w:tcPr>
            <w:tcW w:w="1155" w:type="dxa"/>
            <w:tcBorders/>
            <w:vAlign w:val="center"/>
          </w:tcPr>
          <w:p>
            <w:pPr>
              <w:pStyle w:val="Normal"/>
              <w:widowControl/>
              <w:suppressAutoHyphens w:val="true"/>
              <w:spacing w:before="60" w:after="0"/>
              <w:jc w:val="right"/>
              <w:rPr>
                <w:rFonts w:cs="Arial"/>
                <w:b/>
                <w:b/>
                <w:bCs/>
                <w:color w:val="000000"/>
                <w:sz w:val="16"/>
                <w:szCs w:val="16"/>
              </w:rPr>
            </w:pPr>
            <w:r>
              <w:rPr>
                <w:rFonts w:eastAsia="Cambria" w:cs="Arial"/>
                <w:b/>
                <w:bCs/>
                <w:color w:val="000000"/>
                <w:kern w:val="0"/>
                <w:sz w:val="16"/>
                <w:szCs w:val="16"/>
                <w:lang w:val="it-IT" w:bidi="ar-SA"/>
              </w:rPr>
              <w:t>2022</w:t>
            </w:r>
          </w:p>
        </w:tc>
      </w:tr>
      <w:tr>
        <w:trPr/>
        <w:tc>
          <w:tcPr>
            <w:tcW w:w="1126"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Emirati Arabi Uniti </w:t>
            </w:r>
          </w:p>
        </w:tc>
        <w:tc>
          <w:tcPr>
            <w:tcW w:w="1107"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5.828.325</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1.808.204</w:t>
            </w:r>
          </w:p>
        </w:tc>
        <w:tc>
          <w:tcPr>
            <w:tcW w:w="1238"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10.355.860</w:t>
            </w:r>
          </w:p>
        </w:tc>
        <w:tc>
          <w:tcPr>
            <w:tcW w:w="235" w:type="dxa"/>
            <w:tcBorders/>
          </w:tcPr>
          <w:p>
            <w:pPr>
              <w:pStyle w:val="Normal"/>
              <w:widowControl/>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1602" w:type="dxa"/>
            <w:tcBorders/>
            <w:vAlign w:val="bottom"/>
          </w:tcPr>
          <w:p>
            <w:pPr>
              <w:pStyle w:val="Normal"/>
              <w:widowControl/>
              <w:suppressAutoHyphens w:val="true"/>
              <w:spacing w:before="60" w:after="0"/>
              <w:rPr>
                <w:rFonts w:cs="Arial"/>
                <w:bCs/>
                <w:color w:val="000000"/>
                <w:sz w:val="16"/>
                <w:szCs w:val="16"/>
              </w:rPr>
            </w:pPr>
            <w:r>
              <w:rPr>
                <w:rFonts w:eastAsia="Cambria" w:cs="Arial"/>
                <w:bCs/>
                <w:color w:val="000000"/>
                <w:kern w:val="0"/>
                <w:sz w:val="16"/>
                <w:szCs w:val="16"/>
                <w:lang w:val="it-IT" w:bidi="ar-SA"/>
              </w:rPr>
              <w:t xml:space="preserve">Germania </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10.016.223</w:t>
            </w:r>
          </w:p>
        </w:tc>
        <w:tc>
          <w:tcPr>
            <w:tcW w:w="1156"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10.871.885</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14.084.976</w:t>
            </w:r>
          </w:p>
        </w:tc>
      </w:tr>
      <w:tr>
        <w:trPr/>
        <w:tc>
          <w:tcPr>
            <w:tcW w:w="1126" w:type="dxa"/>
            <w:tcBorders/>
            <w:vAlign w:val="bottom"/>
          </w:tcPr>
          <w:p>
            <w:pPr>
              <w:pStyle w:val="Normal"/>
              <w:widowControl/>
              <w:suppressAutoHyphens w:val="true"/>
              <w:spacing w:before="60" w:after="0"/>
              <w:rPr>
                <w:rFonts w:cs="Arial"/>
                <w:b/>
                <w:b/>
                <w:bCs/>
                <w:color w:val="000000"/>
                <w:sz w:val="16"/>
                <w:szCs w:val="16"/>
              </w:rPr>
            </w:pPr>
            <w:r>
              <w:rPr>
                <w:rFonts w:eastAsia="Cambria" w:cs="Arial"/>
                <w:b/>
                <w:bCs/>
                <w:color w:val="000000"/>
                <w:kern w:val="0"/>
                <w:sz w:val="16"/>
                <w:szCs w:val="16"/>
                <w:lang w:val="it-IT" w:bidi="ar-SA"/>
              </w:rPr>
              <w:t xml:space="preserve">Spagna </w:t>
            </w:r>
          </w:p>
        </w:tc>
        <w:tc>
          <w:tcPr>
            <w:tcW w:w="1107"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6.259.799</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10.017.032</w:t>
            </w:r>
          </w:p>
        </w:tc>
        <w:tc>
          <w:tcPr>
            <w:tcW w:w="1238"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7.764.645</w:t>
            </w:r>
          </w:p>
        </w:tc>
        <w:tc>
          <w:tcPr>
            <w:tcW w:w="235" w:type="dxa"/>
            <w:tcBorders/>
          </w:tcPr>
          <w:p>
            <w:pPr>
              <w:pStyle w:val="Normal"/>
              <w:widowControl/>
              <w:suppressAutoHyphens w:val="true"/>
              <w:spacing w:before="60" w:after="0"/>
              <w:rPr>
                <w:rFonts w:cs="Arial"/>
                <w:color w:val="000000"/>
                <w:sz w:val="16"/>
                <w:szCs w:val="16"/>
              </w:rPr>
            </w:pPr>
            <w:r>
              <w:rPr>
                <w:rFonts w:eastAsia="Cambria" w:cs="Arial"/>
                <w:color w:val="000000"/>
                <w:kern w:val="0"/>
                <w:sz w:val="20"/>
                <w:szCs w:val="16"/>
                <w:lang w:val="it-IT" w:bidi="ar-SA"/>
              </w:rPr>
            </w:r>
          </w:p>
        </w:tc>
        <w:tc>
          <w:tcPr>
            <w:tcW w:w="1602"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Stati Uniti </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7.589.855</w:t>
            </w:r>
          </w:p>
        </w:tc>
        <w:tc>
          <w:tcPr>
            <w:tcW w:w="1156"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7.244.342</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10.763.532</w:t>
            </w:r>
          </w:p>
        </w:tc>
      </w:tr>
      <w:tr>
        <w:trPr/>
        <w:tc>
          <w:tcPr>
            <w:tcW w:w="1126" w:type="dxa"/>
            <w:tcBorders/>
            <w:vAlign w:val="bottom"/>
          </w:tcPr>
          <w:p>
            <w:pPr>
              <w:pStyle w:val="Normal"/>
              <w:widowControl/>
              <w:suppressAutoHyphens w:val="true"/>
              <w:spacing w:before="60" w:after="0"/>
              <w:rPr>
                <w:rFonts w:cs="Arial"/>
                <w:b/>
                <w:b/>
                <w:bCs/>
                <w:color w:val="000000"/>
                <w:sz w:val="16"/>
                <w:szCs w:val="16"/>
              </w:rPr>
            </w:pPr>
            <w:r>
              <w:rPr>
                <w:rFonts w:eastAsia="Cambria" w:cs="Arial"/>
                <w:b/>
                <w:bCs/>
                <w:color w:val="000000"/>
                <w:kern w:val="0"/>
                <w:sz w:val="16"/>
                <w:szCs w:val="16"/>
                <w:lang w:val="it-IT" w:bidi="ar-SA"/>
              </w:rPr>
              <w:t xml:space="preserve">Germania </w:t>
            </w:r>
          </w:p>
        </w:tc>
        <w:tc>
          <w:tcPr>
            <w:tcW w:w="1107"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2.734.717</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2.643.208</w:t>
            </w:r>
          </w:p>
        </w:tc>
        <w:tc>
          <w:tcPr>
            <w:tcW w:w="1238"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3.714.448</w:t>
            </w:r>
          </w:p>
        </w:tc>
        <w:tc>
          <w:tcPr>
            <w:tcW w:w="235" w:type="dxa"/>
            <w:tcBorders/>
          </w:tcPr>
          <w:p>
            <w:pPr>
              <w:pStyle w:val="Normal"/>
              <w:widowControl/>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1602" w:type="dxa"/>
            <w:tcBorders/>
            <w:vAlign w:val="bottom"/>
          </w:tcPr>
          <w:p>
            <w:pPr>
              <w:pStyle w:val="Normal"/>
              <w:widowControl/>
              <w:suppressAutoHyphens w:val="true"/>
              <w:spacing w:before="60" w:after="0"/>
              <w:rPr>
                <w:rFonts w:cs="Arial"/>
                <w:bCs/>
                <w:color w:val="000000"/>
                <w:sz w:val="16"/>
                <w:szCs w:val="16"/>
              </w:rPr>
            </w:pPr>
            <w:r>
              <w:rPr>
                <w:rFonts w:eastAsia="Cambria" w:cs="Arial"/>
                <w:bCs/>
                <w:color w:val="000000"/>
                <w:kern w:val="0"/>
                <w:sz w:val="16"/>
                <w:szCs w:val="16"/>
                <w:lang w:val="it-IT" w:bidi="ar-SA"/>
              </w:rPr>
              <w:t xml:space="preserve">Francia </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6.342.947</w:t>
            </w:r>
          </w:p>
        </w:tc>
        <w:tc>
          <w:tcPr>
            <w:tcW w:w="1156"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5.262.867</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7.294.576</w:t>
            </w:r>
          </w:p>
        </w:tc>
      </w:tr>
      <w:tr>
        <w:trPr/>
        <w:tc>
          <w:tcPr>
            <w:tcW w:w="1126" w:type="dxa"/>
            <w:tcBorders/>
            <w:vAlign w:val="bottom"/>
          </w:tcPr>
          <w:p>
            <w:pPr>
              <w:pStyle w:val="Normal"/>
              <w:widowControl/>
              <w:suppressAutoHyphens w:val="true"/>
              <w:spacing w:before="60" w:after="0"/>
              <w:rPr>
                <w:rFonts w:cs="Arial"/>
                <w:b/>
                <w:b/>
                <w:bCs/>
                <w:color w:val="000000"/>
                <w:sz w:val="16"/>
                <w:szCs w:val="16"/>
              </w:rPr>
            </w:pPr>
            <w:r>
              <w:rPr>
                <w:rFonts w:eastAsia="Cambria" w:cs="Arial"/>
                <w:b/>
                <w:bCs/>
                <w:color w:val="000000"/>
                <w:kern w:val="0"/>
                <w:sz w:val="16"/>
                <w:szCs w:val="16"/>
                <w:lang w:val="it-IT" w:bidi="ar-SA"/>
              </w:rPr>
              <w:t xml:space="preserve">Francia </w:t>
            </w:r>
          </w:p>
        </w:tc>
        <w:tc>
          <w:tcPr>
            <w:tcW w:w="1107"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1.970.911</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2.242.978</w:t>
            </w:r>
          </w:p>
        </w:tc>
        <w:tc>
          <w:tcPr>
            <w:tcW w:w="1238"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3.277.251</w:t>
            </w:r>
          </w:p>
        </w:tc>
        <w:tc>
          <w:tcPr>
            <w:tcW w:w="235" w:type="dxa"/>
            <w:tcBorders/>
          </w:tcPr>
          <w:p>
            <w:pPr>
              <w:pStyle w:val="Normal"/>
              <w:widowControl/>
              <w:suppressAutoHyphens w:val="true"/>
              <w:spacing w:before="60" w:after="0"/>
              <w:rPr>
                <w:rFonts w:cs="Arial"/>
                <w:color w:val="000000"/>
                <w:sz w:val="16"/>
                <w:szCs w:val="16"/>
              </w:rPr>
            </w:pPr>
            <w:r>
              <w:rPr>
                <w:rFonts w:eastAsia="Cambria" w:cs="Arial"/>
                <w:color w:val="000000"/>
                <w:kern w:val="0"/>
                <w:sz w:val="20"/>
                <w:szCs w:val="16"/>
                <w:lang w:val="it-IT" w:bidi="ar-SA"/>
              </w:rPr>
            </w:r>
          </w:p>
        </w:tc>
        <w:tc>
          <w:tcPr>
            <w:tcW w:w="1602"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Albania </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4.803.783</w:t>
            </w:r>
          </w:p>
        </w:tc>
        <w:tc>
          <w:tcPr>
            <w:tcW w:w="1156"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4.749.853</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5.928.222</w:t>
            </w:r>
          </w:p>
        </w:tc>
      </w:tr>
      <w:tr>
        <w:trPr/>
        <w:tc>
          <w:tcPr>
            <w:tcW w:w="1126"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Portogallo </w:t>
            </w:r>
          </w:p>
        </w:tc>
        <w:tc>
          <w:tcPr>
            <w:tcW w:w="1107"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168.867</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2.514.685</w:t>
            </w:r>
          </w:p>
        </w:tc>
        <w:tc>
          <w:tcPr>
            <w:tcW w:w="1238"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1.903.890</w:t>
            </w:r>
          </w:p>
        </w:tc>
        <w:tc>
          <w:tcPr>
            <w:tcW w:w="235" w:type="dxa"/>
            <w:tcBorders/>
          </w:tcPr>
          <w:p>
            <w:pPr>
              <w:pStyle w:val="Normal"/>
              <w:widowControl/>
              <w:suppressAutoHyphens w:val="true"/>
              <w:spacing w:before="60" w:after="0"/>
              <w:rPr>
                <w:rFonts w:cs="Arial"/>
                <w:color w:val="000000"/>
                <w:sz w:val="16"/>
                <w:szCs w:val="16"/>
              </w:rPr>
            </w:pPr>
            <w:r>
              <w:rPr>
                <w:rFonts w:eastAsia="Cambria" w:cs="Arial"/>
                <w:color w:val="000000"/>
                <w:kern w:val="0"/>
                <w:sz w:val="20"/>
                <w:szCs w:val="16"/>
                <w:lang w:val="it-IT" w:bidi="ar-SA"/>
              </w:rPr>
            </w:r>
          </w:p>
        </w:tc>
        <w:tc>
          <w:tcPr>
            <w:tcW w:w="1602"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Regno Unito </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3.358.683</w:t>
            </w:r>
          </w:p>
        </w:tc>
        <w:tc>
          <w:tcPr>
            <w:tcW w:w="1156"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2.641.560</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4.221.084</w:t>
            </w:r>
          </w:p>
        </w:tc>
      </w:tr>
      <w:tr>
        <w:trPr/>
        <w:tc>
          <w:tcPr>
            <w:tcW w:w="1126"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Belgio </w:t>
            </w:r>
          </w:p>
        </w:tc>
        <w:tc>
          <w:tcPr>
            <w:tcW w:w="1107"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679.666</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752.807</w:t>
            </w:r>
          </w:p>
        </w:tc>
        <w:tc>
          <w:tcPr>
            <w:tcW w:w="1238"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961.729</w:t>
            </w:r>
          </w:p>
        </w:tc>
        <w:tc>
          <w:tcPr>
            <w:tcW w:w="235" w:type="dxa"/>
            <w:tcBorders/>
          </w:tcPr>
          <w:p>
            <w:pPr>
              <w:pStyle w:val="Normal"/>
              <w:widowControl/>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1602" w:type="dxa"/>
            <w:tcBorders/>
            <w:vAlign w:val="bottom"/>
          </w:tcPr>
          <w:p>
            <w:pPr>
              <w:pStyle w:val="Normal"/>
              <w:widowControl/>
              <w:suppressAutoHyphens w:val="true"/>
              <w:spacing w:before="60" w:after="0"/>
              <w:rPr>
                <w:rFonts w:cs="Arial"/>
                <w:bCs/>
                <w:color w:val="000000"/>
                <w:sz w:val="16"/>
                <w:szCs w:val="16"/>
              </w:rPr>
            </w:pPr>
            <w:r>
              <w:rPr>
                <w:rFonts w:eastAsia="Cambria" w:cs="Arial"/>
                <w:bCs/>
                <w:color w:val="000000"/>
                <w:kern w:val="0"/>
                <w:sz w:val="16"/>
                <w:szCs w:val="16"/>
                <w:lang w:val="it-IT" w:bidi="ar-SA"/>
              </w:rPr>
              <w:t xml:space="preserve">Spagna </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2.722.512</w:t>
            </w:r>
          </w:p>
        </w:tc>
        <w:tc>
          <w:tcPr>
            <w:tcW w:w="1156"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2.354.943</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3.137.084</w:t>
            </w:r>
          </w:p>
        </w:tc>
      </w:tr>
      <w:tr>
        <w:trPr/>
        <w:tc>
          <w:tcPr>
            <w:tcW w:w="1126"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Austria </w:t>
            </w:r>
          </w:p>
        </w:tc>
        <w:tc>
          <w:tcPr>
            <w:tcW w:w="1107"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976.505</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867.534</w:t>
            </w:r>
          </w:p>
        </w:tc>
        <w:tc>
          <w:tcPr>
            <w:tcW w:w="1238"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812.276</w:t>
            </w:r>
          </w:p>
        </w:tc>
        <w:tc>
          <w:tcPr>
            <w:tcW w:w="235" w:type="dxa"/>
            <w:tcBorders/>
          </w:tcPr>
          <w:p>
            <w:pPr>
              <w:pStyle w:val="Normal"/>
              <w:widowControl/>
              <w:suppressAutoHyphens w:val="true"/>
              <w:spacing w:before="60" w:after="0"/>
              <w:rPr>
                <w:rFonts w:cs="Arial"/>
                <w:color w:val="000000"/>
                <w:sz w:val="16"/>
                <w:szCs w:val="16"/>
              </w:rPr>
            </w:pPr>
            <w:r>
              <w:rPr>
                <w:rFonts w:eastAsia="Cambria" w:cs="Arial"/>
                <w:color w:val="000000"/>
                <w:kern w:val="0"/>
                <w:sz w:val="20"/>
                <w:szCs w:val="16"/>
                <w:lang w:val="it-IT" w:bidi="ar-SA"/>
              </w:rPr>
            </w:r>
          </w:p>
        </w:tc>
        <w:tc>
          <w:tcPr>
            <w:tcW w:w="1602"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Svizzera </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1.817.841</w:t>
            </w:r>
          </w:p>
        </w:tc>
        <w:tc>
          <w:tcPr>
            <w:tcW w:w="1156"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2.174.666</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3.073.191</w:t>
            </w:r>
          </w:p>
        </w:tc>
      </w:tr>
      <w:tr>
        <w:trPr/>
        <w:tc>
          <w:tcPr>
            <w:tcW w:w="1126" w:type="dxa"/>
            <w:tcBorders/>
            <w:vAlign w:val="bottom"/>
          </w:tcPr>
          <w:p>
            <w:pPr>
              <w:pStyle w:val="Normal"/>
              <w:widowControl/>
              <w:suppressAutoHyphens w:val="true"/>
              <w:spacing w:before="60" w:after="0"/>
              <w:rPr>
                <w:rFonts w:cs="Arial"/>
                <w:b/>
                <w:b/>
                <w:bCs/>
                <w:color w:val="000000"/>
                <w:sz w:val="16"/>
                <w:szCs w:val="16"/>
              </w:rPr>
            </w:pPr>
            <w:r>
              <w:rPr>
                <w:rFonts w:eastAsia="Cambria" w:cs="Arial"/>
                <w:b/>
                <w:bCs/>
                <w:color w:val="000000"/>
                <w:kern w:val="0"/>
                <w:sz w:val="16"/>
                <w:szCs w:val="16"/>
                <w:lang w:val="it-IT" w:bidi="ar-SA"/>
              </w:rPr>
              <w:t xml:space="preserve">Paesi Bassi </w:t>
            </w:r>
          </w:p>
        </w:tc>
        <w:tc>
          <w:tcPr>
            <w:tcW w:w="1107"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708.011</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704.081</w:t>
            </w:r>
          </w:p>
        </w:tc>
        <w:tc>
          <w:tcPr>
            <w:tcW w:w="1238"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621.416</w:t>
            </w:r>
          </w:p>
        </w:tc>
        <w:tc>
          <w:tcPr>
            <w:tcW w:w="235" w:type="dxa"/>
            <w:tcBorders/>
          </w:tcPr>
          <w:p>
            <w:pPr>
              <w:pStyle w:val="Normal"/>
              <w:widowControl/>
              <w:suppressAutoHyphens w:val="true"/>
              <w:spacing w:before="60" w:after="0"/>
              <w:rPr>
                <w:rFonts w:cs="Arial"/>
                <w:color w:val="000000"/>
                <w:sz w:val="16"/>
                <w:szCs w:val="16"/>
              </w:rPr>
            </w:pPr>
            <w:r>
              <w:rPr>
                <w:rFonts w:eastAsia="Cambria" w:cs="Arial"/>
                <w:color w:val="000000"/>
                <w:kern w:val="0"/>
                <w:sz w:val="20"/>
                <w:szCs w:val="16"/>
                <w:lang w:val="it-IT" w:bidi="ar-SA"/>
              </w:rPr>
            </w:r>
          </w:p>
        </w:tc>
        <w:tc>
          <w:tcPr>
            <w:tcW w:w="1602"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Grecia </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2.883.972</w:t>
            </w:r>
          </w:p>
        </w:tc>
        <w:tc>
          <w:tcPr>
            <w:tcW w:w="1156"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2.421.283</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2.916.286</w:t>
            </w:r>
          </w:p>
        </w:tc>
      </w:tr>
      <w:tr>
        <w:trPr/>
        <w:tc>
          <w:tcPr>
            <w:tcW w:w="1126"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Croazia </w:t>
            </w:r>
          </w:p>
        </w:tc>
        <w:tc>
          <w:tcPr>
            <w:tcW w:w="1107"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265.570</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386.696</w:t>
            </w:r>
          </w:p>
        </w:tc>
        <w:tc>
          <w:tcPr>
            <w:tcW w:w="1238"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515.680</w:t>
            </w:r>
          </w:p>
        </w:tc>
        <w:tc>
          <w:tcPr>
            <w:tcW w:w="235" w:type="dxa"/>
            <w:tcBorders/>
          </w:tcPr>
          <w:p>
            <w:pPr>
              <w:pStyle w:val="Normal"/>
              <w:widowControl/>
              <w:suppressAutoHyphens w:val="true"/>
              <w:spacing w:before="60" w:after="0"/>
              <w:rPr>
                <w:rFonts w:cs="Arial"/>
                <w:b/>
                <w:b/>
                <w:bCs/>
                <w:color w:val="000000"/>
                <w:sz w:val="16"/>
                <w:szCs w:val="16"/>
              </w:rPr>
            </w:pPr>
            <w:r>
              <w:rPr>
                <w:rFonts w:eastAsia="Cambria" w:cs="Arial"/>
                <w:b/>
                <w:bCs/>
                <w:color w:val="000000"/>
                <w:kern w:val="0"/>
                <w:sz w:val="20"/>
                <w:szCs w:val="16"/>
                <w:lang w:val="it-IT" w:bidi="ar-SA"/>
              </w:rPr>
            </w:r>
          </w:p>
        </w:tc>
        <w:tc>
          <w:tcPr>
            <w:tcW w:w="1602" w:type="dxa"/>
            <w:tcBorders/>
            <w:vAlign w:val="bottom"/>
          </w:tcPr>
          <w:p>
            <w:pPr>
              <w:pStyle w:val="Normal"/>
              <w:widowControl/>
              <w:suppressAutoHyphens w:val="true"/>
              <w:spacing w:before="60" w:after="0"/>
              <w:rPr>
                <w:rFonts w:cs="Arial"/>
                <w:bCs/>
                <w:color w:val="000000"/>
                <w:sz w:val="16"/>
                <w:szCs w:val="16"/>
              </w:rPr>
            </w:pPr>
            <w:r>
              <w:rPr>
                <w:rFonts w:eastAsia="Cambria" w:cs="Arial"/>
                <w:bCs/>
                <w:color w:val="000000"/>
                <w:kern w:val="0"/>
                <w:sz w:val="16"/>
                <w:szCs w:val="16"/>
                <w:lang w:val="it-IT" w:bidi="ar-SA"/>
              </w:rPr>
              <w:t xml:space="preserve">Paesi Bassi </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2.788.464</w:t>
            </w:r>
          </w:p>
        </w:tc>
        <w:tc>
          <w:tcPr>
            <w:tcW w:w="1156"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2.855.357</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2.903.787</w:t>
            </w:r>
          </w:p>
        </w:tc>
      </w:tr>
      <w:tr>
        <w:trPr/>
        <w:tc>
          <w:tcPr>
            <w:tcW w:w="1126"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Svizzera </w:t>
            </w:r>
          </w:p>
        </w:tc>
        <w:tc>
          <w:tcPr>
            <w:tcW w:w="1107"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355.267</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315.033</w:t>
            </w:r>
          </w:p>
        </w:tc>
        <w:tc>
          <w:tcPr>
            <w:tcW w:w="1238"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451.558</w:t>
            </w:r>
          </w:p>
        </w:tc>
        <w:tc>
          <w:tcPr>
            <w:tcW w:w="235" w:type="dxa"/>
            <w:tcBorders/>
          </w:tcPr>
          <w:p>
            <w:pPr>
              <w:pStyle w:val="Normal"/>
              <w:widowControl/>
              <w:suppressAutoHyphens w:val="true"/>
              <w:spacing w:before="60" w:after="0"/>
              <w:rPr>
                <w:rFonts w:cs="Arial"/>
                <w:color w:val="000000"/>
                <w:sz w:val="16"/>
                <w:szCs w:val="16"/>
              </w:rPr>
            </w:pPr>
            <w:r>
              <w:rPr>
                <w:rFonts w:eastAsia="Cambria" w:cs="Arial"/>
                <w:color w:val="000000"/>
                <w:kern w:val="0"/>
                <w:sz w:val="20"/>
                <w:szCs w:val="16"/>
                <w:lang w:val="it-IT" w:bidi="ar-SA"/>
              </w:rPr>
            </w:r>
          </w:p>
        </w:tc>
        <w:tc>
          <w:tcPr>
            <w:tcW w:w="1602" w:type="dxa"/>
            <w:tcBorders/>
            <w:vAlign w:val="bottom"/>
          </w:tcPr>
          <w:p>
            <w:pPr>
              <w:pStyle w:val="Normal"/>
              <w:widowControl/>
              <w:suppressAutoHyphens w:val="true"/>
              <w:spacing w:before="60" w:after="0"/>
              <w:rPr>
                <w:rFonts w:cs="Arial"/>
                <w:color w:val="000000"/>
                <w:sz w:val="16"/>
                <w:szCs w:val="16"/>
              </w:rPr>
            </w:pPr>
            <w:r>
              <w:rPr>
                <w:rFonts w:eastAsia="Cambria" w:cs="Arial"/>
                <w:color w:val="000000"/>
                <w:kern w:val="0"/>
                <w:sz w:val="16"/>
                <w:szCs w:val="16"/>
                <w:lang w:val="it-IT" w:bidi="ar-SA"/>
              </w:rPr>
              <w:t xml:space="preserve">Corea del Sud </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1.871.360</w:t>
            </w:r>
          </w:p>
        </w:tc>
        <w:tc>
          <w:tcPr>
            <w:tcW w:w="1156"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2.638.544</w:t>
            </w:r>
          </w:p>
        </w:tc>
        <w:tc>
          <w:tcPr>
            <w:tcW w:w="1155" w:type="dxa"/>
            <w:tcBorders/>
            <w:vAlign w:val="bottom"/>
          </w:tcPr>
          <w:p>
            <w:pPr>
              <w:pStyle w:val="Normal"/>
              <w:widowControl/>
              <w:suppressAutoHyphens w:val="true"/>
              <w:spacing w:before="60" w:after="0"/>
              <w:jc w:val="right"/>
              <w:rPr>
                <w:rFonts w:cs="Arial"/>
                <w:color w:val="000000"/>
                <w:sz w:val="16"/>
                <w:szCs w:val="16"/>
              </w:rPr>
            </w:pPr>
            <w:r>
              <w:rPr>
                <w:rFonts w:eastAsia="Cambria" w:cs="Arial"/>
                <w:color w:val="000000"/>
                <w:kern w:val="0"/>
                <w:sz w:val="16"/>
                <w:szCs w:val="16"/>
                <w:lang w:val="it-IT" w:bidi="ar-SA"/>
              </w:rPr>
              <w:t>2.709.268</w:t>
            </w:r>
          </w:p>
        </w:tc>
      </w:tr>
    </w:tbl>
    <w:p>
      <w:pPr>
        <w:pStyle w:val="Normal"/>
        <w:spacing w:before="0" w:after="0"/>
        <w:rPr>
          <w:sz w:val="16"/>
          <w:szCs w:val="16"/>
        </w:rPr>
      </w:pPr>
      <w:r>
        <w:rPr>
          <w:sz w:val="16"/>
          <w:szCs w:val="16"/>
        </w:rPr>
        <w:t>Fonte: Istat, Coeweb</w:t>
      </w:r>
    </w:p>
    <w:p>
      <w:pPr>
        <w:pStyle w:val="Normal"/>
        <w:spacing w:before="0" w:after="0"/>
        <w:rPr>
          <w:sz w:val="16"/>
          <w:szCs w:val="16"/>
        </w:rPr>
      </w:pPr>
      <w:r>
        <w:rPr>
          <w:sz w:val="16"/>
          <w:szCs w:val="16"/>
        </w:rPr>
        <w:t>Elaborazione: Ufficio Studi e statistica, Camera di Commercio delle Marche</w:t>
      </w:r>
    </w:p>
    <w:p>
      <w:pPr>
        <w:pStyle w:val="Titolo2"/>
        <w:numPr>
          <w:ilvl w:val="1"/>
          <w:numId w:val="10"/>
        </w:numPr>
        <w:ind w:left="0" w:hanging="0"/>
        <w:rPr/>
      </w:pPr>
      <w:r>
        <w:rPr/>
        <w:t>Le imprese del settore agroalimentare</w:t>
      </w:r>
    </w:p>
    <w:p>
      <w:pPr>
        <w:pStyle w:val="Normal"/>
        <w:rPr/>
      </w:pPr>
      <w:r>
        <w:rPr/>
        <w:t>Alla data del 30 giugno 2022 il settore agroalimentare delle Marche conta 26.466 imprese registrate</w:t>
      </w:r>
      <w:r>
        <w:rPr>
          <w:rStyle w:val="Richiamoallanotaapidipagina"/>
          <w:b/>
          <w:color w:val="000000"/>
        </w:rPr>
        <w:footnoteReference w:id="5"/>
      </w:r>
      <w:r>
        <w:rPr/>
        <w:t>, delle quali 26.016, vale a dire il 98,3% del totale, risultano attive. A distanza di sei mesi dalla fine del 2021, si rileva una diminuzione del -2,3% della numerosità imprenditoriale del settore, che procede con un ritmo maggiore rispetto a quello dell’intero tessuto imprenditoriale regionale (-1,7%).</w:t>
      </w:r>
    </w:p>
    <w:p>
      <w:pPr>
        <w:pStyle w:val="Normal"/>
        <w:rPr/>
      </w:pPr>
      <w:r>
        <w:rPr/>
        <w:t xml:space="preserve">Entrambi gli andamenti risultano in continuità con il trend osservabile andando a ritroso nel tempo di qualche anno e considerando quindi una serie storica di medio-lungo periodo (dalla fine del 2013), che mostra come </w:t>
      </w:r>
      <w:r>
        <w:rPr>
          <w:b/>
        </w:rPr>
        <w:t xml:space="preserve">le imprese del composito settore agroalimentare siano complessivamente orientate a una progressiva diminuzione numerica, più intensa di quella delle imprese regionali complessivamente considerate, </w:t>
      </w:r>
      <w:r>
        <w:rPr/>
        <w:t>proseguita in sostanziale continuità anche nel 2020, anno dello shock pandemico, e nel successivo 2021.</w:t>
      </w:r>
    </w:p>
    <w:p>
      <w:pPr>
        <w:pStyle w:val="Normal"/>
        <w:rPr>
          <w:b/>
          <w:b/>
        </w:rPr>
      </w:pPr>
      <w:r>
        <w:rPr>
          <w:b/>
        </w:rPr>
      </w:r>
    </w:p>
    <w:p>
      <w:pPr>
        <w:pStyle w:val="Normal"/>
        <w:rPr/>
      </w:pPr>
      <w:r>
        <w:rPr>
          <w:b/>
        </w:rPr>
        <w:t>Tuttavia è bene considerare distintamente le sue due componenti, anche in ragione delle rispettive diverse dimensioni</w:t>
      </w:r>
      <w:r>
        <w:rPr/>
        <w:t xml:space="preserve">: le </w:t>
      </w:r>
      <w:r>
        <w:rPr>
          <w:color w:val="000000"/>
        </w:rPr>
        <w:t>26.466</w:t>
      </w:r>
      <w:r>
        <w:rPr/>
        <w:t xml:space="preserve"> le imprese registrate del settore agroalimentare delle Marche sono in larghissima maggioranza costituite dalle imprese del </w:t>
      </w:r>
      <w:r>
        <w:rPr>
          <w:b/>
        </w:rPr>
        <w:t>settore dell’agricoltura, silvicoltura e pesca</w:t>
      </w:r>
      <w:r>
        <w:rPr/>
        <w:t>, che con 24.494 imprese ne rappresenta il 92,5%,</w:t>
      </w:r>
      <w:r>
        <w:rPr>
          <w:b/>
        </w:rPr>
        <w:t xml:space="preserve"> </w:t>
      </w:r>
      <w:r>
        <w:rPr/>
        <w:t>mentre le imprese manifatturiere dell’alimentare, bevande e tabacco sono 1.972, dunque il 7,5% del totale. Considerando l’Italia nel complesso la quota per le imprese di trasformazione del settore è un po’ più elevata, attestandosi all’8,</w:t>
      </w:r>
      <w:r>
        <w:rPr>
          <w:color w:val="000000"/>
        </w:rPr>
        <w:t>8</w:t>
      </w:r>
      <w:r>
        <w:rPr/>
        <w:t>%.</w:t>
      </w:r>
    </w:p>
    <w:p>
      <w:pPr>
        <w:pStyle w:val="Normal"/>
        <w:rPr/>
      </w:pPr>
      <w:r>
        <w:rPr/>
      </w:r>
    </w:p>
    <w:p>
      <w:pPr>
        <w:pStyle w:val="Normal"/>
        <w:rPr/>
      </w:pPr>
      <w:r>
        <w:rPr/>
        <w:t xml:space="preserve">Il </w:t>
      </w:r>
      <w:r>
        <w:rPr>
          <w:b/>
        </w:rPr>
        <w:t>settore primario marchigiano (agricoltura, silvicoltura e pesca)</w:t>
      </w:r>
      <w:r>
        <w:rPr/>
        <w:t xml:space="preserve"> ha un trend costantemente volto alla contrazione numerica, che nell’arco temporale esaminato (tra la fine del 2013 e fine giugno 2022) risulta molto importante (-18,8%, contro -7,2% dell’intero tessuto imprenditoriale regionale). </w:t>
      </w:r>
    </w:p>
    <w:p>
      <w:pPr>
        <w:pStyle w:val="Normal"/>
        <w:rPr/>
      </w:pPr>
      <w:r>
        <w:rPr/>
      </w:r>
    </w:p>
    <w:p>
      <w:pPr>
        <w:pStyle w:val="Normal"/>
        <w:rPr/>
      </w:pPr>
      <w:r>
        <w:rPr/>
        <w:t>L</w:t>
      </w:r>
      <w:r>
        <w:rPr>
          <w:b/>
        </w:rPr>
        <w:t xml:space="preserve">e imprese del comparto manifatturiero degli alimentari, bevande e tabacco, dal canto loro, hanno avuto </w:t>
      </w:r>
      <w:r>
        <w:rPr>
          <w:b/>
          <w:color w:val="000000"/>
        </w:rPr>
        <w:t xml:space="preserve">per buona parte dello stesso periodo </w:t>
      </w:r>
      <w:r>
        <w:rPr>
          <w:b/>
        </w:rPr>
        <w:t>un andamento crescente, almeno fino al 2016</w:t>
      </w:r>
      <w:r>
        <w:rPr/>
        <w:t xml:space="preserve">, per poi rimanere </w:t>
      </w:r>
      <w:r>
        <w:rPr>
          <w:color w:val="000000"/>
        </w:rPr>
        <w:t xml:space="preserve">sostanzialmente </w:t>
      </w:r>
      <w:r>
        <w:rPr/>
        <w:t>stabili fino al 2019. Anche p</w:t>
      </w:r>
      <w:r>
        <w:rPr>
          <w:color w:val="000000"/>
        </w:rPr>
        <w:t xml:space="preserve">er loro il </w:t>
      </w:r>
      <w:r>
        <w:rPr/>
        <w:t>2020 è poi segnato da una flessione, proseguita anche nel 2021. I primi sei mesi del 2022 segnalano ancora una diminuzione, benché decisamente modesta. Nel complesso tuttavia dell’intero periodo a metà 2022 le imprese del settore risultano maggiori numericamente rispetto a quelle rilevate a fine 2013 (+3,4%).</w:t>
      </w:r>
    </w:p>
    <w:p>
      <w:pPr>
        <w:pStyle w:val="Normal"/>
        <w:rPr/>
      </w:pPr>
      <w:r>
        <w:rPr/>
        <w:t>Non molto dissimili, ma meno sensibili, sono i corrispondenti andamenti per l’Italia, che tuttavia vede crescere leggermente il numero delle imprese del totale economia fino al 2018, per poi invertire la tendenza.</w:t>
      </w:r>
    </w:p>
    <w:p>
      <w:pPr>
        <w:pStyle w:val="Normal"/>
        <w:rPr/>
      </w:pPr>
      <w:r>
        <w:rPr/>
      </w:r>
    </w:p>
    <w:p>
      <w:pPr>
        <w:pStyle w:val="Normal"/>
        <w:rPr>
          <w:rFonts w:cs="Arial"/>
          <w:b/>
          <w:b/>
          <w:bCs/>
          <w:color w:val="000000"/>
        </w:rPr>
      </w:pPr>
      <w:r>
        <w:rPr>
          <w:rFonts w:cs="Arial"/>
          <w:b/>
          <w:bCs/>
        </w:rPr>
        <w:t>Imprese registrate del settore agroalimentare (divisioni ATECO 2007) e imprese registrate totali delle Marche per al 31.12 degli anni 2013-20</w:t>
      </w:r>
      <w:r>
        <w:rPr>
          <w:rFonts w:cs="Arial"/>
          <w:b/>
          <w:bCs/>
          <w:color w:val="000000"/>
        </w:rPr>
        <w:t>21</w:t>
      </w:r>
    </w:p>
    <w:tbl>
      <w:tblPr>
        <w:tblW w:w="8835" w:type="dxa"/>
        <w:jc w:val="left"/>
        <w:tblInd w:w="58" w:type="dxa"/>
        <w:tblLayout w:type="fixed"/>
        <w:tblCellMar>
          <w:top w:w="0" w:type="dxa"/>
          <w:left w:w="70" w:type="dxa"/>
          <w:bottom w:w="0" w:type="dxa"/>
          <w:right w:w="70" w:type="dxa"/>
        </w:tblCellMar>
        <w:tblLook w:val="04a0"/>
      </w:tblPr>
      <w:tblGrid>
        <w:gridCol w:w="993"/>
        <w:gridCol w:w="1133"/>
        <w:gridCol w:w="1112"/>
        <w:gridCol w:w="1182"/>
        <w:gridCol w:w="1071"/>
        <w:gridCol w:w="1032"/>
        <w:gridCol w:w="1296"/>
        <w:gridCol w:w="1015"/>
      </w:tblGrid>
      <w:tr>
        <w:trPr>
          <w:trHeight w:val="1380"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eastAsia="Times New Roman" w:cs="Arial"/>
                <w:b/>
                <w:b/>
                <w:bCs/>
                <w:color w:val="000000"/>
                <w:sz w:val="16"/>
                <w:szCs w:val="16"/>
                <w:lang w:eastAsia="it-IT"/>
              </w:rPr>
            </w:pPr>
            <w:r>
              <w:rPr>
                <w:rFonts w:eastAsia="Times New Roman" w:cs="Arial"/>
                <w:b/>
                <w:bCs/>
                <w:color w:val="000000"/>
                <w:sz w:val="16"/>
                <w:szCs w:val="16"/>
                <w:lang w:eastAsia="it-IT"/>
              </w:rPr>
              <w:t>Divisione</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A 01</w:t>
            </w:r>
          </w:p>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 xml:space="preserve"> </w:t>
            </w:r>
            <w:r>
              <w:rPr>
                <w:rFonts w:eastAsia="Times New Roman" w:cs="Arial"/>
                <w:color w:val="000000"/>
                <w:sz w:val="16"/>
                <w:szCs w:val="16"/>
                <w:lang w:eastAsia="it-IT"/>
              </w:rPr>
              <w:t>Coltivazioni agricole e produzione di prodotti animali, c...</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A 02</w:t>
            </w:r>
          </w:p>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 xml:space="preserve"> </w:t>
            </w:r>
            <w:r>
              <w:rPr>
                <w:rFonts w:eastAsia="Times New Roman" w:cs="Arial"/>
                <w:color w:val="000000"/>
                <w:sz w:val="16"/>
                <w:szCs w:val="16"/>
                <w:lang w:eastAsia="it-IT"/>
              </w:rPr>
              <w:t>Silvicoltura ed utilizzo di aree forestali</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 xml:space="preserve">A 03 </w:t>
            </w:r>
          </w:p>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 xml:space="preserve">Pesca e </w:t>
            </w:r>
          </w:p>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acquacoltura</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 xml:space="preserve">C 10 </w:t>
            </w:r>
          </w:p>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Industrie alimentari</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 xml:space="preserve">C 11 </w:t>
            </w:r>
          </w:p>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 xml:space="preserve">Industria delle </w:t>
            </w:r>
          </w:p>
          <w:p>
            <w:pPr>
              <w:pStyle w:val="Normal"/>
              <w:widowControl w:val="false"/>
              <w:suppressAutoHyphens w:val="false"/>
              <w:spacing w:before="0" w:after="0"/>
              <w:jc w:val="center"/>
              <w:rPr>
                <w:rFonts w:eastAsia="Times New Roman" w:cs="Arial"/>
                <w:color w:val="000000"/>
                <w:sz w:val="16"/>
                <w:szCs w:val="16"/>
                <w:lang w:eastAsia="it-IT"/>
              </w:rPr>
            </w:pPr>
            <w:r>
              <w:rPr>
                <w:rFonts w:eastAsia="Times New Roman" w:cs="Arial"/>
                <w:color w:val="000000"/>
                <w:sz w:val="16"/>
                <w:szCs w:val="16"/>
                <w:lang w:eastAsia="it-IT"/>
              </w:rPr>
              <w:t>bevande</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eastAsia="Times New Roman" w:cs="Arial"/>
                <w:b/>
                <w:b/>
                <w:bCs/>
                <w:color w:val="000000"/>
                <w:sz w:val="16"/>
                <w:szCs w:val="16"/>
                <w:lang w:eastAsia="it-IT"/>
              </w:rPr>
            </w:pPr>
            <w:r>
              <w:rPr>
                <w:rFonts w:eastAsia="Times New Roman" w:cs="Arial"/>
                <w:b/>
                <w:bCs/>
                <w:color w:val="000000"/>
                <w:sz w:val="16"/>
                <w:szCs w:val="16"/>
                <w:lang w:eastAsia="it-IT"/>
              </w:rPr>
              <w:t xml:space="preserve">Totale </w:t>
            </w:r>
          </w:p>
          <w:p>
            <w:pPr>
              <w:pStyle w:val="Normal"/>
              <w:widowControl w:val="false"/>
              <w:suppressAutoHyphens w:val="false"/>
              <w:spacing w:before="0" w:after="0"/>
              <w:jc w:val="center"/>
              <w:rPr>
                <w:rFonts w:eastAsia="Times New Roman" w:cs="Arial"/>
                <w:b/>
                <w:b/>
                <w:bCs/>
                <w:color w:val="000000"/>
                <w:sz w:val="16"/>
                <w:szCs w:val="16"/>
                <w:lang w:eastAsia="it-IT"/>
              </w:rPr>
            </w:pPr>
            <w:r>
              <w:rPr>
                <w:rFonts w:eastAsia="Times New Roman" w:cs="Arial"/>
                <w:b/>
                <w:bCs/>
                <w:color w:val="000000"/>
                <w:sz w:val="16"/>
                <w:szCs w:val="16"/>
                <w:lang w:eastAsia="it-IT"/>
              </w:rPr>
              <w:t>agroalimentare</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eastAsia="Times New Roman" w:cs="Arial"/>
                <w:b/>
                <w:b/>
                <w:bCs/>
                <w:color w:val="000000"/>
                <w:sz w:val="16"/>
                <w:szCs w:val="16"/>
                <w:lang w:eastAsia="it-IT"/>
              </w:rPr>
            </w:pPr>
            <w:r>
              <w:rPr>
                <w:rFonts w:eastAsia="Times New Roman" w:cs="Arial"/>
                <w:b/>
                <w:bCs/>
                <w:color w:val="000000"/>
                <w:sz w:val="16"/>
                <w:szCs w:val="16"/>
                <w:lang w:eastAsia="it-IT"/>
              </w:rPr>
              <w:t xml:space="preserve">Totale </w:t>
            </w:r>
          </w:p>
          <w:p>
            <w:pPr>
              <w:pStyle w:val="Normal"/>
              <w:widowControl w:val="false"/>
              <w:suppressAutoHyphens w:val="false"/>
              <w:spacing w:before="0" w:after="0"/>
              <w:jc w:val="center"/>
              <w:rPr>
                <w:rFonts w:eastAsia="Times New Roman" w:cs="Arial"/>
                <w:b/>
                <w:b/>
                <w:bCs/>
                <w:color w:val="000000"/>
                <w:sz w:val="16"/>
                <w:szCs w:val="16"/>
                <w:lang w:eastAsia="it-IT"/>
              </w:rPr>
            </w:pPr>
            <w:r>
              <w:rPr>
                <w:rFonts w:eastAsia="Times New Roman" w:cs="Arial"/>
                <w:b/>
                <w:bCs/>
                <w:color w:val="000000"/>
                <w:sz w:val="16"/>
                <w:szCs w:val="16"/>
                <w:lang w:eastAsia="it-IT"/>
              </w:rPr>
              <w:t>Economia</w:t>
            </w:r>
          </w:p>
        </w:tc>
      </w:tr>
      <w:tr>
        <w:trPr>
          <w:trHeight w:val="315"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Cs/>
                <w:color w:val="000000"/>
                <w:sz w:val="16"/>
                <w:szCs w:val="16"/>
                <w:lang w:eastAsia="it-IT"/>
              </w:rPr>
            </w:pPr>
            <w:r>
              <w:rPr>
                <w:rFonts w:eastAsia="Times New Roman" w:cs="Arial"/>
                <w:bCs/>
                <w:color w:val="000000"/>
                <w:sz w:val="16"/>
                <w:szCs w:val="16"/>
                <w:lang w:eastAsia="it-IT"/>
              </w:rPr>
              <w:t>2013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29.210</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275</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697</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1.814</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93</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
                <w:b/>
                <w:color w:val="000000"/>
                <w:sz w:val="16"/>
                <w:szCs w:val="16"/>
                <w:lang w:eastAsia="it-IT"/>
              </w:rPr>
            </w:pPr>
            <w:r>
              <w:rPr>
                <w:rFonts w:eastAsia="Times New Roman" w:cs="Arial"/>
                <w:b/>
                <w:color w:val="000000"/>
                <w:sz w:val="16"/>
                <w:szCs w:val="16"/>
                <w:lang w:eastAsia="it-IT"/>
              </w:rPr>
              <w:t>32.089</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174.857</w:t>
            </w:r>
          </w:p>
        </w:tc>
      </w:tr>
      <w:tr>
        <w:trPr>
          <w:trHeight w:val="315"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Cs/>
                <w:color w:val="000000"/>
                <w:sz w:val="16"/>
                <w:szCs w:val="16"/>
                <w:lang w:eastAsia="it-IT"/>
              </w:rPr>
            </w:pPr>
            <w:r>
              <w:rPr>
                <w:rFonts w:eastAsia="Times New Roman" w:cs="Arial"/>
                <w:bCs/>
                <w:color w:val="000000"/>
                <w:sz w:val="16"/>
                <w:szCs w:val="16"/>
                <w:lang w:eastAsia="it-IT"/>
              </w:rPr>
              <w:t>2014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28.134</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284</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697</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1.857</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98</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
                <w:b/>
                <w:color w:val="000000"/>
                <w:sz w:val="16"/>
                <w:szCs w:val="16"/>
                <w:lang w:eastAsia="it-IT"/>
              </w:rPr>
            </w:pPr>
            <w:r>
              <w:rPr>
                <w:rFonts w:eastAsia="Times New Roman" w:cs="Arial"/>
                <w:b/>
                <w:color w:val="000000"/>
                <w:sz w:val="16"/>
                <w:szCs w:val="16"/>
                <w:lang w:eastAsia="it-IT"/>
              </w:rPr>
              <w:t>31.070</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173.735</w:t>
            </w:r>
          </w:p>
        </w:tc>
      </w:tr>
      <w:tr>
        <w:trPr>
          <w:trHeight w:val="315"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Cs/>
                <w:color w:val="000000"/>
                <w:sz w:val="16"/>
                <w:szCs w:val="16"/>
                <w:lang w:eastAsia="it-IT"/>
              </w:rPr>
            </w:pPr>
            <w:r>
              <w:rPr>
                <w:rFonts w:eastAsia="Times New Roman" w:cs="Arial"/>
                <w:bCs/>
                <w:color w:val="000000"/>
                <w:sz w:val="16"/>
                <w:szCs w:val="16"/>
                <w:lang w:eastAsia="it-IT"/>
              </w:rPr>
              <w:t>2015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27.503</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280</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705</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1.873</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107</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
                <w:b/>
                <w:color w:val="000000"/>
                <w:sz w:val="16"/>
                <w:szCs w:val="16"/>
                <w:lang w:eastAsia="it-IT"/>
              </w:rPr>
            </w:pPr>
            <w:r>
              <w:rPr>
                <w:rFonts w:eastAsia="Times New Roman" w:cs="Arial"/>
                <w:b/>
                <w:color w:val="000000"/>
                <w:sz w:val="16"/>
                <w:szCs w:val="16"/>
                <w:lang w:eastAsia="it-IT"/>
              </w:rPr>
              <w:t>30.468</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173.223</w:t>
            </w:r>
          </w:p>
        </w:tc>
      </w:tr>
      <w:tr>
        <w:trPr>
          <w:trHeight w:val="315"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Cs/>
                <w:color w:val="000000"/>
                <w:sz w:val="16"/>
                <w:szCs w:val="16"/>
                <w:lang w:eastAsia="it-IT"/>
              </w:rPr>
            </w:pPr>
            <w:r>
              <w:rPr>
                <w:rFonts w:eastAsia="Times New Roman" w:cs="Arial"/>
                <w:bCs/>
                <w:color w:val="000000"/>
                <w:sz w:val="16"/>
                <w:szCs w:val="16"/>
                <w:lang w:eastAsia="it-IT"/>
              </w:rPr>
              <w:t>2016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26.885</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272</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701</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1.896</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113</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
                <w:b/>
                <w:color w:val="000000"/>
                <w:sz w:val="16"/>
                <w:szCs w:val="16"/>
                <w:lang w:eastAsia="it-IT"/>
              </w:rPr>
            </w:pPr>
            <w:r>
              <w:rPr>
                <w:rFonts w:eastAsia="Times New Roman" w:cs="Arial"/>
                <w:b/>
                <w:color w:val="000000"/>
                <w:sz w:val="16"/>
                <w:szCs w:val="16"/>
                <w:lang w:eastAsia="it-IT"/>
              </w:rPr>
              <w:t>29.867</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171.984</w:t>
            </w:r>
          </w:p>
        </w:tc>
      </w:tr>
      <w:tr>
        <w:trPr>
          <w:trHeight w:val="315"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Cs/>
                <w:color w:val="000000"/>
                <w:sz w:val="16"/>
                <w:szCs w:val="16"/>
                <w:lang w:eastAsia="it-IT"/>
              </w:rPr>
            </w:pPr>
            <w:r>
              <w:rPr>
                <w:rFonts w:eastAsia="Times New Roman" w:cs="Arial"/>
                <w:bCs/>
                <w:color w:val="000000"/>
                <w:sz w:val="16"/>
                <w:szCs w:val="16"/>
                <w:lang w:eastAsia="it-IT"/>
              </w:rPr>
              <w:t>2017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26.405</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280</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696</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1.895</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117</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
                <w:b/>
                <w:color w:val="000000"/>
                <w:sz w:val="16"/>
                <w:szCs w:val="16"/>
                <w:lang w:eastAsia="it-IT"/>
              </w:rPr>
            </w:pPr>
            <w:r>
              <w:rPr>
                <w:rFonts w:eastAsia="Times New Roman" w:cs="Arial"/>
                <w:b/>
                <w:color w:val="000000"/>
                <w:sz w:val="16"/>
                <w:szCs w:val="16"/>
                <w:lang w:eastAsia="it-IT"/>
              </w:rPr>
              <w:t>29.393</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171.855</w:t>
            </w:r>
          </w:p>
        </w:tc>
      </w:tr>
      <w:tr>
        <w:trPr>
          <w:trHeight w:val="315"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Cs/>
                <w:color w:val="000000"/>
                <w:sz w:val="16"/>
                <w:szCs w:val="16"/>
                <w:lang w:eastAsia="it-IT"/>
              </w:rPr>
            </w:pPr>
            <w:r>
              <w:rPr>
                <w:rFonts w:eastAsia="Times New Roman" w:cs="Arial"/>
                <w:bCs/>
                <w:color w:val="000000"/>
                <w:sz w:val="16"/>
                <w:szCs w:val="16"/>
                <w:lang w:eastAsia="it-IT"/>
              </w:rPr>
              <w:t>2018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25.912</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276</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676</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1.889</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119</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
                <w:b/>
                <w:color w:val="000000"/>
                <w:sz w:val="16"/>
                <w:szCs w:val="16"/>
                <w:lang w:eastAsia="it-IT"/>
              </w:rPr>
            </w:pPr>
            <w:r>
              <w:rPr>
                <w:rFonts w:eastAsia="Times New Roman" w:cs="Arial"/>
                <w:b/>
                <w:color w:val="000000"/>
                <w:sz w:val="16"/>
                <w:szCs w:val="16"/>
                <w:lang w:eastAsia="it-IT"/>
              </w:rPr>
              <w:t>28.872</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169.861</w:t>
            </w:r>
          </w:p>
        </w:tc>
      </w:tr>
      <w:tr>
        <w:trPr>
          <w:trHeight w:val="315"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Cs/>
                <w:color w:val="000000"/>
                <w:sz w:val="16"/>
                <w:szCs w:val="16"/>
                <w:lang w:eastAsia="it-IT"/>
              </w:rPr>
            </w:pPr>
            <w:r>
              <w:rPr>
                <w:rFonts w:eastAsia="Times New Roman" w:cs="Arial"/>
                <w:bCs/>
                <w:color w:val="000000"/>
                <w:sz w:val="16"/>
                <w:szCs w:val="16"/>
                <w:lang w:eastAsia="it-IT"/>
              </w:rPr>
              <w:t>2019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25.178</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267</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649</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1.891</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122</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
                <w:b/>
                <w:color w:val="000000"/>
                <w:sz w:val="16"/>
                <w:szCs w:val="16"/>
                <w:lang w:eastAsia="it-IT"/>
              </w:rPr>
            </w:pPr>
            <w:r>
              <w:rPr>
                <w:rFonts w:eastAsia="Times New Roman" w:cs="Arial"/>
                <w:b/>
                <w:color w:val="000000"/>
                <w:sz w:val="16"/>
                <w:szCs w:val="16"/>
                <w:lang w:eastAsia="it-IT"/>
              </w:rPr>
              <w:t>28.107</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168.067</w:t>
            </w:r>
          </w:p>
        </w:tc>
      </w:tr>
      <w:tr>
        <w:trPr>
          <w:trHeight w:val="315"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Cs/>
                <w:color w:val="000000"/>
                <w:sz w:val="16"/>
                <w:szCs w:val="16"/>
                <w:lang w:eastAsia="it-IT"/>
              </w:rPr>
            </w:pPr>
            <w:r>
              <w:rPr>
                <w:rFonts w:eastAsia="Times New Roman" w:cs="Arial"/>
                <w:bCs/>
                <w:color w:val="000000"/>
                <w:sz w:val="16"/>
                <w:szCs w:val="16"/>
                <w:lang w:eastAsia="it-IT"/>
              </w:rPr>
              <w:t>2020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24.583</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277</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653</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1.878</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115</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
                <w:b/>
                <w:color w:val="000000"/>
                <w:sz w:val="16"/>
                <w:szCs w:val="16"/>
                <w:lang w:eastAsia="it-IT"/>
              </w:rPr>
            </w:pPr>
            <w:r>
              <w:rPr>
                <w:rFonts w:eastAsia="Times New Roman" w:cs="Arial"/>
                <w:b/>
                <w:color w:val="000000"/>
                <w:sz w:val="16"/>
                <w:szCs w:val="16"/>
                <w:lang w:eastAsia="it-IT"/>
              </w:rPr>
              <w:t>27.506</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166.341</w:t>
            </w:r>
          </w:p>
        </w:tc>
      </w:tr>
      <w:tr>
        <w:trPr>
          <w:trHeight w:val="315"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Cs/>
                <w:color w:val="000000"/>
                <w:sz w:val="16"/>
                <w:szCs w:val="16"/>
                <w:lang w:eastAsia="it-IT"/>
              </w:rPr>
            </w:pPr>
            <w:r>
              <w:rPr>
                <w:rFonts w:eastAsia="Times New Roman" w:cs="Arial"/>
                <w:bCs/>
                <w:color w:val="000000"/>
                <w:sz w:val="16"/>
                <w:szCs w:val="16"/>
                <w:lang w:eastAsia="it-IT"/>
              </w:rPr>
              <w:t>2021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24.197</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272</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645</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1.858</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118</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
                <w:b/>
                <w:color w:val="000000"/>
                <w:sz w:val="16"/>
                <w:szCs w:val="16"/>
                <w:lang w:eastAsia="it-IT"/>
              </w:rPr>
            </w:pPr>
            <w:r>
              <w:rPr>
                <w:rFonts w:eastAsia="Times New Roman" w:cs="Arial"/>
                <w:b/>
                <w:color w:val="000000"/>
                <w:sz w:val="16"/>
                <w:szCs w:val="16"/>
                <w:lang w:eastAsia="it-IT"/>
              </w:rPr>
              <w:t>27.090</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165.127</w:t>
            </w:r>
          </w:p>
        </w:tc>
      </w:tr>
      <w:tr>
        <w:trPr>
          <w:trHeight w:val="315" w:hRule="atLeast"/>
        </w:trPr>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Cs/>
                <w:color w:val="000000"/>
                <w:sz w:val="16"/>
                <w:szCs w:val="16"/>
                <w:lang w:eastAsia="it-IT"/>
              </w:rPr>
            </w:pPr>
            <w:r>
              <w:rPr>
                <w:rFonts w:eastAsia="Times New Roman" w:cs="Arial"/>
                <w:bCs/>
                <w:color w:val="000000"/>
                <w:sz w:val="16"/>
                <w:szCs w:val="16"/>
                <w:lang w:eastAsia="it-IT"/>
              </w:rPr>
              <w:t xml:space="preserve">2022 </w:t>
            </w:r>
            <w:r>
              <w:rPr>
                <w:rFonts w:eastAsia="Times New Roman" w:cs="Arial"/>
                <w:bCs/>
                <w:color w:val="000000"/>
                <w:sz w:val="16"/>
                <w:szCs w:val="16"/>
                <w:vertAlign w:val="superscript"/>
                <w:lang w:eastAsia="it-IT"/>
              </w:rPr>
              <w:t>(1)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23.596</w:t>
            </w:r>
          </w:p>
        </w:tc>
        <w:tc>
          <w:tcPr>
            <w:tcW w:w="11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265</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633</w:t>
            </w:r>
          </w:p>
        </w:tc>
        <w:tc>
          <w:tcPr>
            <w:tcW w:w="10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1.855</w:t>
            </w:r>
          </w:p>
        </w:tc>
        <w:tc>
          <w:tcPr>
            <w:tcW w:w="1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117</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b/>
                <w:b/>
                <w:color w:val="000000"/>
                <w:sz w:val="16"/>
                <w:szCs w:val="16"/>
                <w:lang w:eastAsia="it-IT"/>
              </w:rPr>
            </w:pPr>
            <w:r>
              <w:rPr>
                <w:rFonts w:eastAsia="Times New Roman" w:cs="Arial"/>
                <w:b/>
                <w:color w:val="000000"/>
                <w:sz w:val="16"/>
                <w:szCs w:val="16"/>
                <w:lang w:eastAsia="it-IT"/>
              </w:rPr>
              <w:t>26.466</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right"/>
              <w:rPr>
                <w:rFonts w:eastAsia="Times New Roman" w:cs="Arial"/>
                <w:color w:val="000000"/>
                <w:sz w:val="16"/>
                <w:szCs w:val="16"/>
                <w:lang w:eastAsia="it-IT"/>
              </w:rPr>
            </w:pPr>
            <w:r>
              <w:rPr>
                <w:rFonts w:eastAsia="Times New Roman" w:cs="Arial"/>
                <w:color w:val="000000"/>
                <w:sz w:val="16"/>
                <w:szCs w:val="16"/>
                <w:lang w:eastAsia="it-IT"/>
              </w:rPr>
              <w:t>162.340</w:t>
            </w:r>
          </w:p>
        </w:tc>
      </w:tr>
    </w:tbl>
    <w:p>
      <w:pPr>
        <w:pStyle w:val="Normal"/>
        <w:spacing w:before="0" w:after="0"/>
        <w:rPr>
          <w:rFonts w:cs="Arial"/>
          <w:bCs/>
          <w:sz w:val="16"/>
          <w:szCs w:val="16"/>
        </w:rPr>
      </w:pPr>
      <w:r>
        <w:rPr>
          <w:rFonts w:cs="Arial"/>
          <w:bCs/>
          <w:sz w:val="16"/>
          <w:szCs w:val="16"/>
        </w:rPr>
        <w:t>(1) Dati al 30 giugno 2022</w:t>
      </w:r>
    </w:p>
    <w:p>
      <w:pPr>
        <w:pStyle w:val="Normal"/>
        <w:spacing w:before="0" w:after="0"/>
        <w:rPr>
          <w:rFonts w:cs="Arial"/>
          <w:bCs/>
          <w:sz w:val="16"/>
          <w:szCs w:val="16"/>
        </w:rPr>
      </w:pPr>
      <w:r>
        <w:rPr>
          <w:rFonts w:cs="Arial"/>
          <w:bCs/>
          <w:sz w:val="16"/>
          <w:szCs w:val="16"/>
        </w:rPr>
        <w:t>Fonte dati: Infocamecamere-Unioncamere, Movimprese</w:t>
      </w:r>
    </w:p>
    <w:p>
      <w:pPr>
        <w:pStyle w:val="Normal"/>
        <w:spacing w:before="0" w:after="0"/>
        <w:rPr>
          <w:sz w:val="16"/>
          <w:szCs w:val="16"/>
        </w:rPr>
      </w:pPr>
      <w:r>
        <w:rPr>
          <w:sz w:val="16"/>
          <w:szCs w:val="16"/>
        </w:rPr>
        <w:t>Elaborazione: Ufficio Studi e statistica, Camera di Commercio delle Marche</w:t>
      </w:r>
    </w:p>
    <w:p>
      <w:pPr>
        <w:pStyle w:val="Normal"/>
        <w:spacing w:before="0" w:after="0"/>
        <w:rPr>
          <w:rFonts w:cs="Arial"/>
          <w:bCs/>
          <w:sz w:val="16"/>
          <w:szCs w:val="16"/>
        </w:rPr>
      </w:pPr>
      <w:r>
        <w:rPr>
          <w:rFonts w:cs="Arial"/>
          <w:bCs/>
          <w:sz w:val="16"/>
          <w:szCs w:val="16"/>
        </w:rPr>
      </w:r>
    </w:p>
    <w:p>
      <w:pPr>
        <w:pStyle w:val="Normal"/>
        <w:spacing w:before="0" w:after="0"/>
        <w:rPr>
          <w:rFonts w:cs="Arial"/>
          <w:b/>
          <w:b/>
          <w:bCs/>
        </w:rPr>
      </w:pPr>
      <w:r>
        <w:rPr>
          <w:rFonts w:cs="Arial"/>
          <w:b/>
          <w:bCs/>
        </w:rPr>
      </w:r>
    </w:p>
    <w:p>
      <w:pPr>
        <w:pStyle w:val="Normal"/>
        <w:spacing w:before="0" w:after="0"/>
        <w:rPr>
          <w:rFonts w:cs="Arial"/>
          <w:b/>
          <w:b/>
          <w:bCs/>
        </w:rPr>
      </w:pPr>
      <w:r>
        <w:rPr>
          <w:rFonts w:cs="Arial"/>
          <w:b/>
          <w:bCs/>
        </w:rPr>
      </w:r>
    </w:p>
    <w:p>
      <w:pPr>
        <w:pStyle w:val="Normal"/>
        <w:spacing w:before="0" w:after="0"/>
        <w:rPr>
          <w:rFonts w:cs="Arial"/>
          <w:b/>
          <w:b/>
          <w:bCs/>
        </w:rPr>
      </w:pPr>
      <w:r>
        <w:rPr>
          <w:rFonts w:cs="Arial"/>
          <w:b/>
          <w:bCs/>
        </w:rPr>
        <w:t xml:space="preserve">Marche: Imprese registrate del settore agroalimentare (divisioni ATECO 2007) per provincia </w:t>
      </w:r>
    </w:p>
    <w:p>
      <w:pPr>
        <w:pStyle w:val="Normal"/>
        <w:spacing w:before="0" w:after="0"/>
        <w:rPr/>
      </w:pPr>
      <w:r>
        <w:rPr>
          <w:rFonts w:cs="Arial"/>
          <w:b/>
          <w:bCs/>
        </w:rPr>
        <w:t xml:space="preserve">al 30 giugno </w:t>
      </w:r>
      <w:r>
        <w:rPr>
          <w:rFonts w:cs="Arial"/>
          <w:b/>
          <w:bCs/>
          <w:color w:val="000000"/>
        </w:rPr>
        <w:t>2022</w:t>
      </w:r>
    </w:p>
    <w:tbl>
      <w:tblPr>
        <w:tblStyle w:val="Grigliatabella"/>
        <w:tblW w:w="9638" w:type="dxa"/>
        <w:jc w:val="left"/>
        <w:tblInd w:w="0" w:type="dxa"/>
        <w:tblLayout w:type="fixed"/>
        <w:tblCellMar>
          <w:top w:w="0" w:type="dxa"/>
          <w:left w:w="108" w:type="dxa"/>
          <w:bottom w:w="0" w:type="dxa"/>
          <w:right w:w="108" w:type="dxa"/>
        </w:tblCellMar>
        <w:tblLook w:val="04a0"/>
      </w:tblPr>
      <w:tblGrid>
        <w:gridCol w:w="2352"/>
        <w:gridCol w:w="949"/>
        <w:gridCol w:w="1269"/>
        <w:gridCol w:w="1264"/>
        <w:gridCol w:w="1271"/>
        <w:gridCol w:w="1265"/>
        <w:gridCol w:w="1267"/>
      </w:tblGrid>
      <w:tr>
        <w:trPr/>
        <w:tc>
          <w:tcPr>
            <w:tcW w:w="2352" w:type="dxa"/>
            <w:tcBorders/>
          </w:tcPr>
          <w:p>
            <w:pPr>
              <w:pStyle w:val="Normal"/>
              <w:widowControl w:val="false"/>
              <w:suppressAutoHyphens w:val="true"/>
              <w:spacing w:before="60" w:after="0"/>
              <w:rPr>
                <w:rFonts w:cs="Arial"/>
                <w:b/>
                <w:b/>
                <w:sz w:val="16"/>
                <w:szCs w:val="16"/>
              </w:rPr>
            </w:pPr>
            <w:r>
              <w:rPr>
                <w:rFonts w:eastAsia="Cambria" w:cs="Arial"/>
                <w:b/>
                <w:kern w:val="0"/>
                <w:sz w:val="16"/>
                <w:szCs w:val="16"/>
                <w:lang w:val="it-IT" w:bidi="ar-SA"/>
              </w:rPr>
              <w:t>Divisione</w:t>
            </w:r>
          </w:p>
        </w:tc>
        <w:tc>
          <w:tcPr>
            <w:tcW w:w="949" w:type="dxa"/>
            <w:tcBorders/>
          </w:tcPr>
          <w:p>
            <w:pPr>
              <w:pStyle w:val="Normal"/>
              <w:widowControl w:val="false"/>
              <w:suppressAutoHyphens w:val="true"/>
              <w:spacing w:before="60" w:after="0"/>
              <w:jc w:val="center"/>
              <w:rPr>
                <w:rFonts w:cs="Arial"/>
                <w:b/>
                <w:b/>
                <w:sz w:val="16"/>
                <w:szCs w:val="16"/>
              </w:rPr>
            </w:pPr>
            <w:r>
              <w:rPr>
                <w:rFonts w:eastAsia="Cambria" w:cs="Arial"/>
                <w:b/>
                <w:kern w:val="0"/>
                <w:sz w:val="16"/>
                <w:szCs w:val="16"/>
                <w:lang w:val="it-IT" w:bidi="ar-SA"/>
              </w:rPr>
              <w:t>Ancona</w:t>
            </w:r>
          </w:p>
        </w:tc>
        <w:tc>
          <w:tcPr>
            <w:tcW w:w="1269" w:type="dxa"/>
            <w:tcBorders/>
          </w:tcPr>
          <w:p>
            <w:pPr>
              <w:pStyle w:val="Normal"/>
              <w:widowControl w:val="false"/>
              <w:suppressAutoHyphens w:val="true"/>
              <w:spacing w:before="60" w:after="0"/>
              <w:jc w:val="center"/>
              <w:rPr>
                <w:rFonts w:cs="Arial"/>
                <w:b/>
                <w:b/>
                <w:sz w:val="16"/>
                <w:szCs w:val="16"/>
              </w:rPr>
            </w:pPr>
            <w:r>
              <w:rPr>
                <w:rFonts w:eastAsia="Cambria" w:cs="Arial"/>
                <w:b/>
                <w:kern w:val="0"/>
                <w:sz w:val="16"/>
                <w:szCs w:val="16"/>
                <w:lang w:val="it-IT" w:bidi="ar-SA"/>
              </w:rPr>
              <w:t>Ascoli Piceno</w:t>
            </w:r>
          </w:p>
        </w:tc>
        <w:tc>
          <w:tcPr>
            <w:tcW w:w="1264" w:type="dxa"/>
            <w:tcBorders/>
          </w:tcPr>
          <w:p>
            <w:pPr>
              <w:pStyle w:val="Normal"/>
              <w:widowControl w:val="false"/>
              <w:suppressAutoHyphens w:val="true"/>
              <w:spacing w:before="60" w:after="0"/>
              <w:jc w:val="center"/>
              <w:rPr>
                <w:rFonts w:cs="Arial"/>
                <w:b/>
                <w:b/>
                <w:sz w:val="16"/>
                <w:szCs w:val="16"/>
              </w:rPr>
            </w:pPr>
            <w:r>
              <w:rPr>
                <w:rFonts w:eastAsia="Cambria" w:cs="Arial"/>
                <w:b/>
                <w:kern w:val="0"/>
                <w:sz w:val="16"/>
                <w:szCs w:val="16"/>
                <w:lang w:val="it-IT" w:bidi="ar-SA"/>
              </w:rPr>
              <w:t>Fermo</w:t>
            </w:r>
          </w:p>
        </w:tc>
        <w:tc>
          <w:tcPr>
            <w:tcW w:w="1271" w:type="dxa"/>
            <w:tcBorders/>
          </w:tcPr>
          <w:p>
            <w:pPr>
              <w:pStyle w:val="Normal"/>
              <w:widowControl w:val="false"/>
              <w:suppressAutoHyphens w:val="true"/>
              <w:spacing w:before="60" w:after="0"/>
              <w:jc w:val="center"/>
              <w:rPr>
                <w:rFonts w:cs="Arial"/>
                <w:b/>
                <w:b/>
                <w:sz w:val="16"/>
                <w:szCs w:val="16"/>
              </w:rPr>
            </w:pPr>
            <w:r>
              <w:rPr>
                <w:rFonts w:eastAsia="Cambria" w:cs="Arial"/>
                <w:b/>
                <w:kern w:val="0"/>
                <w:sz w:val="16"/>
                <w:szCs w:val="16"/>
                <w:lang w:val="it-IT" w:bidi="ar-SA"/>
              </w:rPr>
              <w:t>Macerata</w:t>
            </w:r>
          </w:p>
        </w:tc>
        <w:tc>
          <w:tcPr>
            <w:tcW w:w="1265" w:type="dxa"/>
            <w:tcBorders/>
          </w:tcPr>
          <w:p>
            <w:pPr>
              <w:pStyle w:val="Normal"/>
              <w:widowControl w:val="false"/>
              <w:suppressAutoHyphens w:val="true"/>
              <w:spacing w:before="60" w:after="0"/>
              <w:jc w:val="center"/>
              <w:rPr>
                <w:rFonts w:cs="Arial"/>
                <w:b/>
                <w:b/>
                <w:sz w:val="16"/>
                <w:szCs w:val="16"/>
              </w:rPr>
            </w:pPr>
            <w:r>
              <w:rPr>
                <w:rFonts w:eastAsia="Cambria" w:cs="Arial"/>
                <w:b/>
                <w:kern w:val="0"/>
                <w:sz w:val="16"/>
                <w:szCs w:val="16"/>
                <w:lang w:val="it-IT" w:bidi="ar-SA"/>
              </w:rPr>
              <w:t>Pesaro e Urbino</w:t>
            </w:r>
          </w:p>
        </w:tc>
        <w:tc>
          <w:tcPr>
            <w:tcW w:w="1267" w:type="dxa"/>
            <w:tcBorders/>
          </w:tcPr>
          <w:p>
            <w:pPr>
              <w:pStyle w:val="Normal"/>
              <w:widowControl w:val="false"/>
              <w:suppressAutoHyphens w:val="true"/>
              <w:spacing w:before="60" w:after="0"/>
              <w:jc w:val="center"/>
              <w:rPr>
                <w:rFonts w:cs="Arial"/>
                <w:b/>
                <w:b/>
                <w:sz w:val="16"/>
                <w:szCs w:val="16"/>
              </w:rPr>
            </w:pPr>
            <w:r>
              <w:rPr>
                <w:rFonts w:eastAsia="Cambria" w:cs="Arial"/>
                <w:b/>
                <w:kern w:val="0"/>
                <w:sz w:val="16"/>
                <w:szCs w:val="16"/>
                <w:lang w:val="it-IT" w:bidi="ar-SA"/>
              </w:rPr>
              <w:t>Marche</w:t>
            </w:r>
          </w:p>
        </w:tc>
      </w:tr>
      <w:tr>
        <w:trPr/>
        <w:tc>
          <w:tcPr>
            <w:tcW w:w="2352" w:type="dxa"/>
            <w:tcBorders/>
            <w:vAlign w:val="center"/>
          </w:tcPr>
          <w:p>
            <w:pPr>
              <w:pStyle w:val="Normal"/>
              <w:widowControl w:val="false"/>
              <w:suppressAutoHyphens w:val="true"/>
              <w:spacing w:before="60" w:after="0"/>
              <w:rPr>
                <w:rFonts w:cs="Arial"/>
                <w:sz w:val="16"/>
                <w:szCs w:val="16"/>
              </w:rPr>
            </w:pPr>
            <w:r>
              <w:rPr>
                <w:rFonts w:eastAsia="Cambria" w:cs="Arial"/>
                <w:kern w:val="0"/>
                <w:sz w:val="16"/>
                <w:szCs w:val="16"/>
                <w:lang w:val="it-IT" w:bidi="ar-SA"/>
              </w:rPr>
              <w:t>A 01 Coltivazioni agricole e produzione di prodotti animali, c...</w:t>
            </w:r>
          </w:p>
        </w:tc>
        <w:tc>
          <w:tcPr>
            <w:tcW w:w="949"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5.599</w:t>
            </w:r>
          </w:p>
        </w:tc>
        <w:tc>
          <w:tcPr>
            <w:tcW w:w="1269"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3.456</w:t>
            </w:r>
          </w:p>
        </w:tc>
        <w:tc>
          <w:tcPr>
            <w:tcW w:w="1264"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3.084</w:t>
            </w:r>
          </w:p>
        </w:tc>
        <w:tc>
          <w:tcPr>
            <w:tcW w:w="1271"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6.670</w:t>
            </w:r>
          </w:p>
        </w:tc>
        <w:tc>
          <w:tcPr>
            <w:tcW w:w="1265"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4.787</w:t>
            </w:r>
          </w:p>
        </w:tc>
        <w:tc>
          <w:tcPr>
            <w:tcW w:w="1267"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23.596</w:t>
            </w:r>
          </w:p>
        </w:tc>
      </w:tr>
      <w:tr>
        <w:trPr/>
        <w:tc>
          <w:tcPr>
            <w:tcW w:w="2352" w:type="dxa"/>
            <w:tcBorders/>
            <w:vAlign w:val="center"/>
          </w:tcPr>
          <w:p>
            <w:pPr>
              <w:pStyle w:val="Normal"/>
              <w:widowControl w:val="false"/>
              <w:suppressAutoHyphens w:val="true"/>
              <w:spacing w:before="60" w:after="0"/>
              <w:rPr>
                <w:rFonts w:cs="Arial"/>
                <w:sz w:val="16"/>
                <w:szCs w:val="16"/>
              </w:rPr>
            </w:pPr>
            <w:r>
              <w:rPr>
                <w:rFonts w:eastAsia="Cambria" w:cs="Arial"/>
                <w:kern w:val="0"/>
                <w:sz w:val="16"/>
                <w:szCs w:val="16"/>
                <w:lang w:val="it-IT" w:bidi="ar-SA"/>
              </w:rPr>
              <w:t>A 02 Silvicoltura ed utilizzo di aree forestali</w:t>
            </w:r>
          </w:p>
        </w:tc>
        <w:tc>
          <w:tcPr>
            <w:tcW w:w="949"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41</w:t>
            </w:r>
          </w:p>
        </w:tc>
        <w:tc>
          <w:tcPr>
            <w:tcW w:w="1269"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66</w:t>
            </w:r>
          </w:p>
        </w:tc>
        <w:tc>
          <w:tcPr>
            <w:tcW w:w="1264"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14</w:t>
            </w:r>
          </w:p>
        </w:tc>
        <w:tc>
          <w:tcPr>
            <w:tcW w:w="1271"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65</w:t>
            </w:r>
          </w:p>
        </w:tc>
        <w:tc>
          <w:tcPr>
            <w:tcW w:w="1265"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79</w:t>
            </w:r>
          </w:p>
        </w:tc>
        <w:tc>
          <w:tcPr>
            <w:tcW w:w="1267"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265</w:t>
            </w:r>
          </w:p>
        </w:tc>
      </w:tr>
      <w:tr>
        <w:trPr/>
        <w:tc>
          <w:tcPr>
            <w:tcW w:w="2352" w:type="dxa"/>
            <w:tcBorders/>
            <w:vAlign w:val="center"/>
          </w:tcPr>
          <w:p>
            <w:pPr>
              <w:pStyle w:val="Normal"/>
              <w:widowControl w:val="false"/>
              <w:suppressAutoHyphens w:val="true"/>
              <w:spacing w:before="60" w:after="0"/>
              <w:rPr>
                <w:rFonts w:cs="Arial"/>
                <w:sz w:val="16"/>
                <w:szCs w:val="16"/>
              </w:rPr>
            </w:pPr>
            <w:r>
              <w:rPr>
                <w:rFonts w:eastAsia="Cambria" w:cs="Arial"/>
                <w:kern w:val="0"/>
                <w:sz w:val="16"/>
                <w:szCs w:val="16"/>
                <w:lang w:val="it-IT" w:bidi="ar-SA"/>
              </w:rPr>
              <w:t>A 03 Pesca e acquacoltura</w:t>
            </w:r>
          </w:p>
        </w:tc>
        <w:tc>
          <w:tcPr>
            <w:tcW w:w="949"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147</w:t>
            </w:r>
          </w:p>
        </w:tc>
        <w:tc>
          <w:tcPr>
            <w:tcW w:w="1269"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100</w:t>
            </w:r>
          </w:p>
        </w:tc>
        <w:tc>
          <w:tcPr>
            <w:tcW w:w="1264"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74</w:t>
            </w:r>
          </w:p>
        </w:tc>
        <w:tc>
          <w:tcPr>
            <w:tcW w:w="1271"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137</w:t>
            </w:r>
          </w:p>
        </w:tc>
        <w:tc>
          <w:tcPr>
            <w:tcW w:w="1265"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175</w:t>
            </w:r>
          </w:p>
        </w:tc>
        <w:tc>
          <w:tcPr>
            <w:tcW w:w="1267"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633</w:t>
            </w:r>
          </w:p>
        </w:tc>
      </w:tr>
      <w:tr>
        <w:trPr/>
        <w:tc>
          <w:tcPr>
            <w:tcW w:w="2352" w:type="dxa"/>
            <w:tcBorders/>
            <w:vAlign w:val="center"/>
          </w:tcPr>
          <w:p>
            <w:pPr>
              <w:pStyle w:val="Normal"/>
              <w:widowControl w:val="false"/>
              <w:suppressAutoHyphens w:val="true"/>
              <w:spacing w:before="60" w:after="0"/>
              <w:rPr>
                <w:rFonts w:cs="Arial"/>
                <w:sz w:val="16"/>
                <w:szCs w:val="16"/>
              </w:rPr>
            </w:pPr>
            <w:r>
              <w:rPr>
                <w:rFonts w:eastAsia="Cambria" w:cs="Arial"/>
                <w:kern w:val="0"/>
                <w:sz w:val="16"/>
                <w:szCs w:val="16"/>
                <w:lang w:val="it-IT" w:bidi="ar-SA"/>
              </w:rPr>
              <w:t>C 10 Industrie alimentari</w:t>
            </w:r>
          </w:p>
        </w:tc>
        <w:tc>
          <w:tcPr>
            <w:tcW w:w="949"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454</w:t>
            </w:r>
          </w:p>
        </w:tc>
        <w:tc>
          <w:tcPr>
            <w:tcW w:w="1269"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355</w:t>
            </w:r>
          </w:p>
        </w:tc>
        <w:tc>
          <w:tcPr>
            <w:tcW w:w="1264"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253</w:t>
            </w:r>
          </w:p>
        </w:tc>
        <w:tc>
          <w:tcPr>
            <w:tcW w:w="1271"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404</w:t>
            </w:r>
          </w:p>
        </w:tc>
        <w:tc>
          <w:tcPr>
            <w:tcW w:w="1265"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389</w:t>
            </w:r>
          </w:p>
        </w:tc>
        <w:tc>
          <w:tcPr>
            <w:tcW w:w="1267"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1.855</w:t>
            </w:r>
          </w:p>
        </w:tc>
      </w:tr>
      <w:tr>
        <w:trPr/>
        <w:tc>
          <w:tcPr>
            <w:tcW w:w="2352" w:type="dxa"/>
            <w:tcBorders/>
            <w:vAlign w:val="center"/>
          </w:tcPr>
          <w:p>
            <w:pPr>
              <w:pStyle w:val="Normal"/>
              <w:widowControl w:val="false"/>
              <w:suppressAutoHyphens w:val="true"/>
              <w:spacing w:before="60" w:after="0"/>
              <w:rPr>
                <w:rFonts w:cs="Arial"/>
                <w:sz w:val="16"/>
                <w:szCs w:val="16"/>
              </w:rPr>
            </w:pPr>
            <w:r>
              <w:rPr>
                <w:rFonts w:eastAsia="Cambria" w:cs="Arial"/>
                <w:kern w:val="0"/>
                <w:sz w:val="16"/>
                <w:szCs w:val="16"/>
                <w:lang w:val="it-IT" w:bidi="ar-SA"/>
              </w:rPr>
              <w:t>C 11 Industria delle bevande</w:t>
            </w:r>
          </w:p>
        </w:tc>
        <w:tc>
          <w:tcPr>
            <w:tcW w:w="949"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42</w:t>
            </w:r>
          </w:p>
        </w:tc>
        <w:tc>
          <w:tcPr>
            <w:tcW w:w="1269"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32</w:t>
            </w:r>
          </w:p>
        </w:tc>
        <w:tc>
          <w:tcPr>
            <w:tcW w:w="1264"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8</w:t>
            </w:r>
          </w:p>
        </w:tc>
        <w:tc>
          <w:tcPr>
            <w:tcW w:w="1271"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21</w:t>
            </w:r>
          </w:p>
        </w:tc>
        <w:tc>
          <w:tcPr>
            <w:tcW w:w="1265"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14</w:t>
            </w:r>
          </w:p>
        </w:tc>
        <w:tc>
          <w:tcPr>
            <w:tcW w:w="1267" w:type="dxa"/>
            <w:tcBorders/>
          </w:tcPr>
          <w:p>
            <w:pPr>
              <w:pStyle w:val="Normal"/>
              <w:widowControl/>
              <w:suppressAutoHyphens w:val="false"/>
              <w:spacing w:before="0" w:after="0"/>
              <w:jc w:val="right"/>
              <w:rPr>
                <w:rFonts w:eastAsia="Times New Roman" w:cs="Arial"/>
                <w:color w:val="000000"/>
                <w:sz w:val="16"/>
                <w:szCs w:val="16"/>
                <w:lang w:eastAsia="it-IT"/>
              </w:rPr>
            </w:pPr>
            <w:r>
              <w:rPr>
                <w:rFonts w:eastAsia="Times New Roman" w:cs="Arial"/>
                <w:color w:val="000000"/>
                <w:kern w:val="0"/>
                <w:sz w:val="16"/>
                <w:szCs w:val="16"/>
                <w:lang w:val="it-IT" w:eastAsia="it-IT" w:bidi="ar-SA"/>
              </w:rPr>
              <w:t>117</w:t>
            </w:r>
          </w:p>
        </w:tc>
      </w:tr>
      <w:tr>
        <w:trPr/>
        <w:tc>
          <w:tcPr>
            <w:tcW w:w="2352" w:type="dxa"/>
            <w:tcBorders/>
          </w:tcPr>
          <w:p>
            <w:pPr>
              <w:pStyle w:val="Normal"/>
              <w:widowControl w:val="false"/>
              <w:suppressAutoHyphens w:val="true"/>
              <w:spacing w:before="60" w:after="0"/>
              <w:rPr>
                <w:rFonts w:cs="Arial"/>
                <w:b/>
                <w:b/>
                <w:sz w:val="16"/>
                <w:szCs w:val="16"/>
              </w:rPr>
            </w:pPr>
            <w:r>
              <w:rPr>
                <w:rFonts w:eastAsia="Cambria" w:cs="Arial"/>
                <w:b/>
                <w:kern w:val="0"/>
                <w:sz w:val="16"/>
                <w:szCs w:val="16"/>
                <w:lang w:val="it-IT" w:bidi="ar-SA"/>
              </w:rPr>
              <w:t>Agroalimentare</w:t>
            </w:r>
          </w:p>
        </w:tc>
        <w:tc>
          <w:tcPr>
            <w:tcW w:w="949" w:type="dxa"/>
            <w:tcBorders/>
          </w:tcPr>
          <w:p>
            <w:pPr>
              <w:pStyle w:val="Normal"/>
              <w:widowControl/>
              <w:suppressAutoHyphens w:val="false"/>
              <w:spacing w:before="0" w:after="0"/>
              <w:jc w:val="right"/>
              <w:rPr>
                <w:rFonts w:eastAsia="Times New Roman" w:cs="Arial"/>
                <w:b/>
                <w:b/>
                <w:color w:val="000000"/>
                <w:sz w:val="16"/>
                <w:szCs w:val="16"/>
                <w:lang w:eastAsia="it-IT"/>
              </w:rPr>
            </w:pPr>
            <w:r>
              <w:rPr>
                <w:rFonts w:eastAsia="Times New Roman" w:cs="Arial"/>
                <w:b/>
                <w:color w:val="000000"/>
                <w:kern w:val="0"/>
                <w:sz w:val="16"/>
                <w:szCs w:val="16"/>
                <w:lang w:val="it-IT" w:eastAsia="it-IT" w:bidi="ar-SA"/>
              </w:rPr>
              <w:t>6.283</w:t>
            </w:r>
          </w:p>
        </w:tc>
        <w:tc>
          <w:tcPr>
            <w:tcW w:w="1269" w:type="dxa"/>
            <w:tcBorders/>
          </w:tcPr>
          <w:p>
            <w:pPr>
              <w:pStyle w:val="Normal"/>
              <w:widowControl/>
              <w:suppressAutoHyphens w:val="false"/>
              <w:spacing w:before="0" w:after="0"/>
              <w:jc w:val="right"/>
              <w:rPr>
                <w:rFonts w:eastAsia="Times New Roman" w:cs="Arial"/>
                <w:b/>
                <w:b/>
                <w:color w:val="000000"/>
                <w:sz w:val="16"/>
                <w:szCs w:val="16"/>
                <w:lang w:eastAsia="it-IT"/>
              </w:rPr>
            </w:pPr>
            <w:r>
              <w:rPr>
                <w:rFonts w:eastAsia="Times New Roman" w:cs="Arial"/>
                <w:b/>
                <w:color w:val="000000"/>
                <w:kern w:val="0"/>
                <w:sz w:val="16"/>
                <w:szCs w:val="16"/>
                <w:lang w:val="it-IT" w:eastAsia="it-IT" w:bidi="ar-SA"/>
              </w:rPr>
              <w:t>4.009</w:t>
            </w:r>
          </w:p>
        </w:tc>
        <w:tc>
          <w:tcPr>
            <w:tcW w:w="1264" w:type="dxa"/>
            <w:tcBorders/>
          </w:tcPr>
          <w:p>
            <w:pPr>
              <w:pStyle w:val="Normal"/>
              <w:widowControl/>
              <w:suppressAutoHyphens w:val="false"/>
              <w:spacing w:before="0" w:after="0"/>
              <w:jc w:val="right"/>
              <w:rPr>
                <w:rFonts w:eastAsia="Times New Roman" w:cs="Arial"/>
                <w:b/>
                <w:b/>
                <w:color w:val="000000"/>
                <w:sz w:val="16"/>
                <w:szCs w:val="16"/>
                <w:lang w:eastAsia="it-IT"/>
              </w:rPr>
            </w:pPr>
            <w:r>
              <w:rPr>
                <w:rFonts w:eastAsia="Times New Roman" w:cs="Arial"/>
                <w:b/>
                <w:color w:val="000000"/>
                <w:kern w:val="0"/>
                <w:sz w:val="16"/>
                <w:szCs w:val="16"/>
                <w:lang w:val="it-IT" w:eastAsia="it-IT" w:bidi="ar-SA"/>
              </w:rPr>
              <w:t>3.433</w:t>
            </w:r>
          </w:p>
        </w:tc>
        <w:tc>
          <w:tcPr>
            <w:tcW w:w="1271" w:type="dxa"/>
            <w:tcBorders/>
          </w:tcPr>
          <w:p>
            <w:pPr>
              <w:pStyle w:val="Normal"/>
              <w:widowControl/>
              <w:suppressAutoHyphens w:val="false"/>
              <w:spacing w:before="0" w:after="0"/>
              <w:jc w:val="right"/>
              <w:rPr>
                <w:rFonts w:eastAsia="Times New Roman" w:cs="Arial"/>
                <w:b/>
                <w:b/>
                <w:color w:val="000000"/>
                <w:sz w:val="16"/>
                <w:szCs w:val="16"/>
                <w:lang w:eastAsia="it-IT"/>
              </w:rPr>
            </w:pPr>
            <w:r>
              <w:rPr>
                <w:rFonts w:eastAsia="Times New Roman" w:cs="Arial"/>
                <w:b/>
                <w:color w:val="000000"/>
                <w:kern w:val="0"/>
                <w:sz w:val="16"/>
                <w:szCs w:val="16"/>
                <w:lang w:val="it-IT" w:eastAsia="it-IT" w:bidi="ar-SA"/>
              </w:rPr>
              <w:t>7.297</w:t>
            </w:r>
          </w:p>
        </w:tc>
        <w:tc>
          <w:tcPr>
            <w:tcW w:w="1265" w:type="dxa"/>
            <w:tcBorders/>
          </w:tcPr>
          <w:p>
            <w:pPr>
              <w:pStyle w:val="Normal"/>
              <w:widowControl/>
              <w:suppressAutoHyphens w:val="false"/>
              <w:spacing w:before="0" w:after="0"/>
              <w:jc w:val="right"/>
              <w:rPr>
                <w:rFonts w:eastAsia="Times New Roman" w:cs="Arial"/>
                <w:b/>
                <w:b/>
                <w:color w:val="000000"/>
                <w:sz w:val="16"/>
                <w:szCs w:val="16"/>
                <w:lang w:eastAsia="it-IT"/>
              </w:rPr>
            </w:pPr>
            <w:r>
              <w:rPr>
                <w:rFonts w:eastAsia="Times New Roman" w:cs="Arial"/>
                <w:b/>
                <w:color w:val="000000"/>
                <w:kern w:val="0"/>
                <w:sz w:val="16"/>
                <w:szCs w:val="16"/>
                <w:lang w:val="it-IT" w:eastAsia="it-IT" w:bidi="ar-SA"/>
              </w:rPr>
              <w:t>5.444</w:t>
            </w:r>
          </w:p>
        </w:tc>
        <w:tc>
          <w:tcPr>
            <w:tcW w:w="1267" w:type="dxa"/>
            <w:tcBorders/>
          </w:tcPr>
          <w:p>
            <w:pPr>
              <w:pStyle w:val="Normal"/>
              <w:widowControl/>
              <w:suppressAutoHyphens w:val="false"/>
              <w:spacing w:before="0" w:after="0"/>
              <w:jc w:val="right"/>
              <w:rPr>
                <w:rFonts w:eastAsia="Times New Roman" w:cs="Arial"/>
                <w:b/>
                <w:b/>
                <w:color w:val="000000"/>
                <w:sz w:val="16"/>
                <w:szCs w:val="16"/>
                <w:lang w:eastAsia="it-IT"/>
              </w:rPr>
            </w:pPr>
            <w:r>
              <w:rPr>
                <w:rFonts w:eastAsia="Times New Roman" w:cs="Arial"/>
                <w:b/>
                <w:color w:val="000000"/>
                <w:kern w:val="0"/>
                <w:sz w:val="16"/>
                <w:szCs w:val="16"/>
                <w:lang w:val="it-IT" w:eastAsia="it-IT" w:bidi="ar-SA"/>
              </w:rPr>
              <w:t>26.466</w:t>
            </w:r>
          </w:p>
        </w:tc>
      </w:tr>
    </w:tbl>
    <w:p>
      <w:pPr>
        <w:pStyle w:val="Normal"/>
        <w:spacing w:before="0" w:after="0"/>
        <w:rPr>
          <w:rFonts w:cs="Arial"/>
          <w:bCs/>
          <w:sz w:val="16"/>
          <w:szCs w:val="16"/>
        </w:rPr>
      </w:pPr>
      <w:r>
        <w:rPr>
          <w:rFonts w:cs="Arial"/>
          <w:bCs/>
          <w:sz w:val="16"/>
          <w:szCs w:val="16"/>
        </w:rPr>
        <w:t>Fonte dati: Infocamecamere-Unioncamere, Movimprese</w:t>
      </w:r>
    </w:p>
    <w:p>
      <w:pPr>
        <w:pStyle w:val="Normal"/>
        <w:spacing w:before="0" w:after="0"/>
        <w:rPr>
          <w:sz w:val="16"/>
          <w:szCs w:val="16"/>
        </w:rPr>
      </w:pPr>
      <w:r>
        <w:rPr>
          <w:sz w:val="16"/>
          <w:szCs w:val="16"/>
        </w:rPr>
        <w:t>Elaborazione: Ufficio Studi e statistica, Camera di Commercio delle Marche</w:t>
      </w:r>
    </w:p>
    <w:p>
      <w:pPr>
        <w:pStyle w:val="Normal"/>
        <w:spacing w:before="0" w:after="0"/>
        <w:rPr>
          <w:rFonts w:cs="Arial"/>
          <w:bCs/>
          <w:sz w:val="28"/>
          <w:szCs w:val="28"/>
        </w:rPr>
      </w:pPr>
      <w:r>
        <w:rPr>
          <w:rFonts w:cs="Arial"/>
          <w:bCs/>
          <w:sz w:val="28"/>
          <w:szCs w:val="28"/>
        </w:rPr>
      </w:r>
    </w:p>
    <w:p>
      <w:pPr>
        <w:pStyle w:val="Normal"/>
        <w:spacing w:before="0" w:after="0"/>
        <w:rPr>
          <w:rFonts w:cs="Arial"/>
          <w:b/>
          <w:b/>
          <w:bCs/>
        </w:rPr>
      </w:pPr>
      <w:r>
        <w:rPr>
          <w:rFonts w:cs="Arial"/>
          <w:b/>
          <w:bCs/>
        </w:rPr>
      </w:r>
    </w:p>
    <w:p>
      <w:pPr>
        <w:pStyle w:val="Normal"/>
        <w:spacing w:before="0" w:after="0"/>
        <w:rPr>
          <w:rFonts w:cs="Arial"/>
          <w:b/>
          <w:b/>
          <w:bCs/>
        </w:rPr>
      </w:pPr>
      <w:r>
        <w:rPr>
          <w:rFonts w:cs="Arial"/>
          <w:b/>
          <w:bCs/>
        </w:rPr>
      </w:r>
    </w:p>
    <w:p>
      <w:pPr>
        <w:pStyle w:val="Normal"/>
        <w:spacing w:before="0" w:after="0"/>
        <w:rPr>
          <w:rFonts w:cs="Arial"/>
          <w:b/>
          <w:b/>
          <w:bCs/>
        </w:rPr>
      </w:pPr>
      <w:r>
        <w:rPr>
          <w:rFonts w:cs="Arial"/>
          <w:b/>
          <w:bCs/>
        </w:rPr>
      </w:r>
    </w:p>
    <w:p>
      <w:pPr>
        <w:pStyle w:val="Normal"/>
        <w:spacing w:before="0" w:after="0"/>
        <w:rPr>
          <w:rFonts w:cs="Arial"/>
          <w:b/>
          <w:b/>
          <w:bCs/>
        </w:rPr>
      </w:pPr>
      <w:r>
        <w:rPr>
          <w:rFonts w:cs="Arial"/>
          <w:b/>
          <w:bCs/>
        </w:rPr>
      </w:r>
    </w:p>
    <w:p>
      <w:pPr>
        <w:pStyle w:val="Normal"/>
        <w:spacing w:before="0" w:after="0"/>
        <w:rPr>
          <w:rFonts w:cs="Arial"/>
          <w:b/>
          <w:b/>
          <w:bCs/>
        </w:rPr>
      </w:pPr>
      <w:r>
        <w:rPr>
          <w:rFonts w:cs="Arial"/>
          <w:b/>
          <w:bCs/>
        </w:rPr>
      </w:r>
    </w:p>
    <w:p>
      <w:pPr>
        <w:pStyle w:val="Normal"/>
        <w:spacing w:before="0" w:after="0"/>
        <w:rPr>
          <w:rFonts w:cs="Arial"/>
          <w:b/>
          <w:b/>
          <w:bCs/>
        </w:rPr>
      </w:pPr>
      <w:r>
        <w:rPr>
          <w:rFonts w:cs="Arial"/>
          <w:b/>
          <w:bCs/>
        </w:rPr>
      </w:r>
    </w:p>
    <w:p>
      <w:pPr>
        <w:pStyle w:val="Normal"/>
        <w:spacing w:before="0" w:after="0"/>
        <w:rPr>
          <w:rFonts w:cs="Arial"/>
          <w:b/>
          <w:b/>
          <w:bCs/>
        </w:rPr>
      </w:pPr>
      <w:r>
        <w:rPr>
          <w:rFonts w:cs="Arial"/>
          <w:b/>
          <w:bCs/>
        </w:rPr>
      </w:r>
    </w:p>
    <w:p>
      <w:pPr>
        <w:pStyle w:val="Normal"/>
        <w:spacing w:before="0" w:after="0"/>
        <w:rPr>
          <w:rFonts w:cs="Arial"/>
          <w:b/>
          <w:b/>
          <w:bCs/>
          <w:highlight w:val="yellow"/>
        </w:rPr>
      </w:pPr>
      <w:r>
        <w:rPr>
          <w:rFonts w:cs="Arial"/>
          <w:b/>
          <w:bCs/>
        </w:rPr>
        <w:t>Imprese registrate delle Marche, numeri indice (anno 2013=100)</w:t>
      </w:r>
    </w:p>
    <w:p>
      <w:pPr>
        <w:pStyle w:val="Normal"/>
        <w:spacing w:before="0" w:after="0"/>
        <w:rPr>
          <w:rFonts w:cs="Arial"/>
          <w:b/>
          <w:b/>
          <w:bCs/>
        </w:rPr>
      </w:pPr>
      <w:r>
        <w:rPr>
          <w:rFonts w:cs="Arial"/>
          <w:b/>
          <w:bCs/>
        </w:rPr>
        <w:t>Confronto settore Agricoltura, silvicoltura e pesca; Industria alimentari, bevande e tabacco, e totale imprese</w:t>
      </w:r>
    </w:p>
    <w:p>
      <w:pPr>
        <w:pStyle w:val="Normal"/>
        <w:spacing w:before="0" w:after="0"/>
        <w:rPr/>
      </w:pPr>
      <w:r>
        <w:rPr/>
        <w:drawing>
          <wp:inline distT="0" distB="0" distL="0" distR="0">
            <wp:extent cx="3573145" cy="2207895"/>
            <wp:effectExtent l="0" t="0" r="0" b="0"/>
            <wp:docPr id="6"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5" descr=""/>
                    <pic:cNvPicPr>
                      <a:picLocks noChangeAspect="1" noChangeArrowheads="1"/>
                    </pic:cNvPicPr>
                  </pic:nvPicPr>
                  <pic:blipFill>
                    <a:blip r:embed="rId7"/>
                    <a:stretch>
                      <a:fillRect/>
                    </a:stretch>
                  </pic:blipFill>
                  <pic:spPr bwMode="auto">
                    <a:xfrm>
                      <a:off x="0" y="0"/>
                      <a:ext cx="3573145" cy="2207895"/>
                    </a:xfrm>
                    <a:prstGeom prst="rect">
                      <a:avLst/>
                    </a:prstGeom>
                  </pic:spPr>
                </pic:pic>
              </a:graphicData>
            </a:graphic>
          </wp:inline>
        </w:drawing>
      </w:r>
    </w:p>
    <w:p>
      <w:pPr>
        <w:pStyle w:val="Normal"/>
        <w:spacing w:before="0" w:after="0"/>
        <w:rPr>
          <w:rFonts w:cs="Arial"/>
          <w:bCs/>
          <w:sz w:val="16"/>
          <w:szCs w:val="16"/>
        </w:rPr>
      </w:pPr>
      <w:r>
        <w:rPr>
          <w:rFonts w:cs="Arial"/>
          <w:bCs/>
          <w:sz w:val="16"/>
          <w:szCs w:val="16"/>
        </w:rPr>
        <w:t>(1) Dati al 30 giugno 2022</w:t>
      </w:r>
    </w:p>
    <w:p>
      <w:pPr>
        <w:pStyle w:val="Normal"/>
        <w:spacing w:before="0" w:after="0"/>
        <w:rPr>
          <w:rFonts w:cs="Arial"/>
          <w:bCs/>
          <w:sz w:val="16"/>
          <w:szCs w:val="16"/>
        </w:rPr>
      </w:pPr>
      <w:r>
        <w:rPr>
          <w:rFonts w:cs="Arial"/>
          <w:bCs/>
          <w:sz w:val="16"/>
          <w:szCs w:val="16"/>
        </w:rPr>
        <w:t>Fonte dati: Infocamecamere-Unioncamere, Movimprese</w:t>
      </w:r>
    </w:p>
    <w:p>
      <w:pPr>
        <w:pStyle w:val="Normal"/>
        <w:spacing w:before="0" w:after="0"/>
        <w:rPr>
          <w:sz w:val="16"/>
          <w:szCs w:val="16"/>
        </w:rPr>
      </w:pPr>
      <w:r>
        <w:rPr>
          <w:sz w:val="16"/>
          <w:szCs w:val="16"/>
        </w:rPr>
        <w:t>Elaborazione: Ufficio Studi e statistica, Camera di Commercio delle Marche</w:t>
      </w:r>
    </w:p>
    <w:p>
      <w:pPr>
        <w:pStyle w:val="Normal"/>
        <w:rPr>
          <w:rFonts w:cs="Arial"/>
          <w:b/>
          <w:b/>
          <w:bCs/>
          <w:sz w:val="28"/>
          <w:szCs w:val="28"/>
        </w:rPr>
      </w:pPr>
      <w:r>
        <w:rPr>
          <w:rFonts w:cs="Arial"/>
          <w:b/>
          <w:bCs/>
          <w:sz w:val="28"/>
          <w:szCs w:val="28"/>
        </w:rPr>
      </w:r>
    </w:p>
    <w:p>
      <w:pPr>
        <w:pStyle w:val="Normal"/>
        <w:spacing w:before="0" w:after="0"/>
        <w:rPr/>
      </w:pPr>
      <w:r>
        <w:rPr>
          <w:rFonts w:cs="Arial"/>
          <w:b/>
          <w:bCs/>
        </w:rPr>
        <w:t>Imprese registrate dell’Italia, numeri indice (anno 2013=100)</w:t>
      </w:r>
    </w:p>
    <w:p>
      <w:pPr>
        <w:pStyle w:val="Normal"/>
        <w:spacing w:before="0" w:after="0"/>
        <w:rPr/>
      </w:pPr>
      <w:r>
        <w:rPr>
          <w:rFonts w:cs="Arial"/>
          <w:b/>
          <w:bCs/>
        </w:rPr>
        <w:t>Confronto settore Agricoltura, silvicoltura e pesca; Industria alimentari, bevande e tabacco, e totale imprese</w:t>
      </w:r>
    </w:p>
    <w:p>
      <w:pPr>
        <w:pStyle w:val="Normal"/>
        <w:spacing w:before="0" w:after="0"/>
        <w:rPr>
          <w:lang w:eastAsia="it-IT"/>
        </w:rPr>
      </w:pPr>
      <w:r>
        <w:rPr/>
        <w:drawing>
          <wp:inline distT="0" distB="0" distL="0" distR="0">
            <wp:extent cx="3973195" cy="2327275"/>
            <wp:effectExtent l="0" t="0" r="0" b="0"/>
            <wp:docPr id="7"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6" descr=""/>
                    <pic:cNvPicPr>
                      <a:picLocks noChangeAspect="1" noChangeArrowheads="1"/>
                    </pic:cNvPicPr>
                  </pic:nvPicPr>
                  <pic:blipFill>
                    <a:blip r:embed="rId8"/>
                    <a:stretch>
                      <a:fillRect/>
                    </a:stretch>
                  </pic:blipFill>
                  <pic:spPr bwMode="auto">
                    <a:xfrm>
                      <a:off x="0" y="0"/>
                      <a:ext cx="3973195" cy="2327275"/>
                    </a:xfrm>
                    <a:prstGeom prst="rect">
                      <a:avLst/>
                    </a:prstGeom>
                  </pic:spPr>
                </pic:pic>
              </a:graphicData>
            </a:graphic>
          </wp:inline>
        </w:drawing>
      </w:r>
    </w:p>
    <w:p>
      <w:pPr>
        <w:pStyle w:val="Normal"/>
        <w:spacing w:before="0" w:after="0"/>
        <w:rPr>
          <w:rFonts w:cs="Arial"/>
          <w:bCs/>
          <w:sz w:val="16"/>
          <w:szCs w:val="16"/>
        </w:rPr>
      </w:pPr>
      <w:r>
        <w:rPr>
          <w:rFonts w:cs="Arial"/>
          <w:bCs/>
          <w:sz w:val="16"/>
          <w:szCs w:val="16"/>
        </w:rPr>
        <w:t>(1) Dati al 30 giugno 2022</w:t>
      </w:r>
    </w:p>
    <w:p>
      <w:pPr>
        <w:pStyle w:val="Normal"/>
        <w:spacing w:before="0" w:after="0"/>
        <w:rPr>
          <w:rFonts w:cs="Arial"/>
          <w:bCs/>
          <w:sz w:val="16"/>
          <w:szCs w:val="16"/>
        </w:rPr>
      </w:pPr>
      <w:r>
        <w:rPr>
          <w:rFonts w:cs="Arial"/>
          <w:bCs/>
          <w:sz w:val="16"/>
          <w:szCs w:val="16"/>
        </w:rPr>
        <w:t>Infocamecamere-Unioncamere, Movimprese</w:t>
      </w:r>
    </w:p>
    <w:p>
      <w:pPr>
        <w:pStyle w:val="Normal"/>
        <w:spacing w:before="0" w:after="0"/>
        <w:rPr>
          <w:rFonts w:cs="Arial"/>
          <w:bCs/>
          <w:sz w:val="16"/>
          <w:szCs w:val="16"/>
        </w:rPr>
      </w:pPr>
      <w:r>
        <w:rPr>
          <w:sz w:val="16"/>
          <w:szCs w:val="16"/>
        </w:rPr>
        <w:t>Elaborazione: Ufficio Studi e statistica, Camera di Commercio delle Marche</w:t>
      </w:r>
    </w:p>
    <w:sectPr>
      <w:headerReference w:type="default" r:id="rId9"/>
      <w:footerReference w:type="default" r:id="rId10"/>
      <w:footnotePr>
        <w:numFmt w:val="decimal"/>
      </w:footnotePr>
      <w:type w:val="nextPage"/>
      <w:pgSz w:w="11906" w:h="16838"/>
      <w:pgMar w:left="1134" w:right="1134" w:gutter="0" w:header="708" w:top="2211" w:footer="709" w:bottom="1361"/>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r>
      <mc:AlternateContent>
        <mc:Choice Requires="wps">
          <w:drawing>
            <wp:anchor behindDoc="0" distT="0" distB="0" distL="114300" distR="114300" simplePos="0" locked="0" layoutInCell="0" allowOverlap="1" relativeHeight="36">
              <wp:simplePos x="0" y="0"/>
              <wp:positionH relativeFrom="margin">
                <wp:align>right</wp:align>
              </wp:positionH>
              <wp:positionV relativeFrom="paragraph">
                <wp:posOffset>635</wp:posOffset>
              </wp:positionV>
              <wp:extent cx="197485" cy="114935"/>
              <wp:effectExtent l="0" t="0" r="0" b="0"/>
              <wp:wrapSquare wrapText="bothSides"/>
              <wp:docPr id="12" name=""/>
              <a:graphic xmlns:a="http://schemas.openxmlformats.org/drawingml/2006/main">
                <a:graphicData uri="http://schemas.microsoft.com/office/word/2010/wordprocessingShape">
                  <wps:wsp>
                    <wps:cNvSpPr txBox="1"/>
                    <wps:spPr>
                      <a:xfrm>
                        <a:off x="0" y="0"/>
                        <a:ext cx="197485" cy="114935"/>
                      </a:xfrm>
                      <a:prstGeom prst="rect"/>
                      <a:solidFill>
                        <a:srgbClr val="FFFFFF">
                          <a:alpha val="0"/>
                        </a:srgbClr>
                      </a:solidFill>
                    </wps:spPr>
                    <wps:txbx>
                      <w:txbxContent>
                        <w:p>
                          <w:pPr>
                            <w:pStyle w:val="Pidipagina"/>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9</w:t>
                          </w:r>
                          <w:r>
                            <w:rPr>
                              <w:rStyle w:val="Pagenumber"/>
                              <w:color w:val="000000"/>
                            </w:rPr>
                            <w:fldChar w:fldCharType="end"/>
                          </w:r>
                        </w:p>
                      </w:txbxContent>
                    </wps:txbx>
                    <wps:bodyPr anchor="t" lIns="91440" tIns="45720" rIns="91440" bIns="45720">
                      <a:noAutofit/>
                    </wps:bodyPr>
                  </wps:wsp>
                </a:graphicData>
              </a:graphic>
            </wp:anchor>
          </w:drawing>
        </mc:Choice>
        <mc:Fallback>
          <w:pict>
            <v:rect stroked="f" strokeweight="0pt" style="position:absolute;rotation:-0;width:15.55pt;height:9.05pt;mso-wrap-distance-left:9pt;mso-wrap-distance-right:9pt;mso-wrap-distance-top:0pt;mso-wrap-distance-bottom:0pt;margin-top:0.05pt;mso-position-vertical-relative:text;margin-left:457.35pt;mso-position-horizontal:right;mso-position-horizontal-relative:margin">
              <v:textbox>
                <w:txbxContent>
                  <w:p>
                    <w:pPr>
                      <w:pStyle w:val="Pidipagina"/>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9</w:t>
                    </w:r>
                    <w:r>
                      <w:rPr>
                        <w:rStyle w:val="Pagenumber"/>
                        <w:color w:val="000000"/>
                      </w:rP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t xml:space="preserve"> </w:t>
      </w:r>
      <w:r>
        <w:rPr>
          <w:sz w:val="18"/>
          <w:szCs w:val="18"/>
        </w:rPr>
        <w:t>La diffusione dei dati definitivi da parte di ISTAT fa così riscontrare un cambio di segno della variazione percentuale su base annua delle esportazioni agroalimentari marchigiane che in base ai dati provvisori davano segno negativo per il 2020.</w:t>
      </w:r>
    </w:p>
  </w:footnote>
  <w:footnote w:id="3">
    <w:p>
      <w:pPr>
        <w:pStyle w:val="Notaapidipagina"/>
        <w:rPr/>
      </w:pPr>
      <w:r>
        <w:rPr>
          <w:rStyle w:val="Caratterinotaapidipagina"/>
        </w:rPr>
        <w:footnoteRef/>
      </w:r>
      <w:r>
        <w:rPr/>
        <w:t xml:space="preserve"> </w:t>
      </w:r>
      <w:r>
        <w:rPr>
          <w:sz w:val="18"/>
          <w:szCs w:val="18"/>
        </w:rPr>
        <w:t>Unitamente in quel caso alla sola provincia di Ascoli Piceno (-5,9%).</w:t>
      </w:r>
    </w:p>
  </w:footnote>
  <w:footnote w:id="4">
    <w:p>
      <w:pPr>
        <w:pStyle w:val="Notaapidipagina"/>
        <w:rPr/>
      </w:pPr>
      <w:r>
        <w:rPr>
          <w:rStyle w:val="Caratterinotaapidipagina"/>
        </w:rPr>
        <w:footnoteRef/>
      </w:r>
      <w:r>
        <w:rPr/>
        <w:t xml:space="preserve"> </w:t>
      </w:r>
      <w:r>
        <w:rPr>
          <w:sz w:val="18"/>
          <w:szCs w:val="18"/>
        </w:rPr>
        <w:t>Settore che nelle Marche presenta spesso notevolissime variazioni del valore delle esportazioni, sia in incremento sia in diminuzione.</w:t>
      </w:r>
    </w:p>
  </w:footnote>
  <w:footnote w:id="5">
    <w:p>
      <w:pPr>
        <w:pStyle w:val="Notaapidipagina"/>
        <w:rPr/>
      </w:pPr>
      <w:r>
        <w:rPr>
          <w:rStyle w:val="Caratterinotaapidipagina"/>
        </w:rPr>
        <w:footnoteRef/>
      </w:r>
      <w:r>
        <w:rPr/>
        <w:t xml:space="preserve"> </w:t>
      </w:r>
      <w:r>
        <w:rPr>
          <w:sz w:val="18"/>
          <w:szCs w:val="18"/>
        </w:rPr>
        <w:t>I dati relativi alle imprese escludono i comuni di Montecopiolo e Sassofeltrio passati dalla regione Marche all’Emilia Romagna. L’intera serie storica è stata rivista in tal senso per poter effettuare confronti territoriali omogenei.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mc:AlternateContent>
        <mc:Choice Requires="wps">
          <w:drawing>
            <wp:anchor behindDoc="1" distT="0" distB="0" distL="114300" distR="0" simplePos="0" locked="0" layoutInCell="0" allowOverlap="1" relativeHeight="9">
              <wp:simplePos x="0" y="0"/>
              <wp:positionH relativeFrom="margin">
                <wp:align>center</wp:align>
              </wp:positionH>
              <wp:positionV relativeFrom="margin">
                <wp:align>center</wp:align>
              </wp:positionV>
              <wp:extent cx="43815" cy="15240"/>
              <wp:effectExtent l="2407285" t="0" r="0" b="0"/>
              <wp:wrapNone/>
              <wp:docPr id="2" name=""/>
              <a:graphic xmlns:a="http://schemas.openxmlformats.org/drawingml/2006/main">
                <a:graphicData uri="http://schemas.microsoft.com/office/word/2010/wordprocessingShape">
                  <wps:wsp>
                    <wps:cNvSpPr txBox="1"/>
                    <wps:spPr>
                      <a:xfrm rot="18900000">
                        <a:off x="0" y="0"/>
                        <a:ext cx="43920" cy="15120"/>
                      </a:xfrm>
                      <a:prstGeom prst="rect">
                        <a:avLst/>
                      </a:prstGeom>
                    </wps:spPr>
                    <wps:txbx>
                      <w:txbxContent>
                        <w:p>
                          <w:pPr>
                            <w:overflowPunct w:val="false"/>
                            <w:spacing w:before="0" w:after="0"/>
                            <w:jc w:val="left"/>
                            <w:rPr/>
                          </w:pPr>
                          <w:r>
                            <w:rPr>
                              <w:sz w:val="2"/>
                              <w:szCs w:val="20"/>
                              <w:rFonts w:ascii="Liberation Sans" w:hAnsi="Liberation Sans"/>
                              <w:lang w:eastAsia="it-IT"/>
                            </w:rPr>
                            <w:t>BOZZA</w:t>
                          </w:r>
                        </w:p>
                      </w:txbxContent>
                    </wps:txbx>
                    <wps:bodyPr wrap="none" lIns="0" rIns="0" tIns="0" bIns="0" anchor="ctr">
                      <a:prstTxWarp prst="textPlain"/>
                      <a:noAutofit/>
                    </wps:bodyPr>
                  </wps:wsp>
                </a:graphicData>
              </a:graphic>
            </wp:anchor>
          </w:drawing>
        </mc:Choice>
        <mc:Fallback>
          <w:pict>
            <v:rect id="shape_0" fillcolor="silver" stroked="f" o:allowincell="f" style="position:absolute;margin-left:189.6pt;margin-top:316.65pt;width:3.4pt;height:1.15pt;mso-wrap-style:none;v-text-anchor:middle;rotation:315;mso-position-horizontal:center;mso-position-horizontal-relative:margin;mso-position-vertical:center;mso-position-vertical-relative:margin">
              <v:textbox>
                <w:txbxContent>
                  <w:p>
                    <w:pPr>
                      <w:overflowPunct w:val="false"/>
                      <w:spacing w:before="0" w:after="0"/>
                      <w:jc w:val="left"/>
                      <w:rPr/>
                    </w:pPr>
                    <w:r>
                      <w:rPr>
                        <w:sz w:val="2"/>
                        <w:szCs w:val="20"/>
                        <w:rFonts w:ascii="Liberation Sans" w:hAnsi="Liberation Sans"/>
                        <w:lang w:eastAsia="it-IT"/>
                      </w:rPr>
                      <w:t>BOZZA</w:t>
                    </w:r>
                  </w:p>
                </w:txbxContent>
              </v:textbox>
              <v:path textpathok="t"/>
              <v:textpath on="t" fitshape="t" string="BOZZA" style="font-family:&quot;Liberation Sans&quot;;font-size:1pt"/>
              <v:fill o:detectmouseclick="t" type="solid" color2="#3f3f3f" opacity="0.5"/>
              <v:stroke color="#3465a4" joinstyle="round" endcap="flat"/>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mc:AlternateContent>
        <mc:Choice Requires="wps">
          <w:drawing>
            <wp:anchor behindDoc="1" distT="0" distB="0" distL="114300" distR="0" simplePos="0" locked="0" layoutInCell="0" allowOverlap="1" relativeHeight="27">
              <wp:simplePos x="0" y="0"/>
              <wp:positionH relativeFrom="margin">
                <wp:align>center</wp:align>
              </wp:positionH>
              <wp:positionV relativeFrom="margin">
                <wp:align>center</wp:align>
              </wp:positionV>
              <wp:extent cx="43815" cy="15240"/>
              <wp:effectExtent l="3037205" t="0" r="0" b="0"/>
              <wp:wrapNone/>
              <wp:docPr id="8" name=""/>
              <a:graphic xmlns:a="http://schemas.openxmlformats.org/drawingml/2006/main">
                <a:graphicData uri="http://schemas.microsoft.com/office/word/2010/wordprocessingShape">
                  <wps:wsp>
                    <wps:cNvSpPr txBox="1"/>
                    <wps:spPr>
                      <a:xfrm rot="18900000">
                        <a:off x="0" y="0"/>
                        <a:ext cx="43920" cy="15120"/>
                      </a:xfrm>
                      <a:prstGeom prst="rect">
                        <a:avLst/>
                      </a:prstGeom>
                    </wps:spPr>
                    <wps:txbx>
                      <w:txbxContent>
                        <w:p>
                          <w:pPr>
                            <w:overflowPunct w:val="false"/>
                            <w:spacing w:before="0" w:after="0"/>
                            <w:jc w:val="left"/>
                            <w:rPr/>
                          </w:pPr>
                          <w:r>
                            <w:rPr>
                              <w:sz w:val="2"/>
                              <w:szCs w:val="20"/>
                              <w:rFonts w:ascii="Liberation Sans" w:hAnsi="Liberation Sans"/>
                              <w:lang w:eastAsia="it-IT"/>
                            </w:rPr>
                            <w:t>BOZZA</w:t>
                          </w:r>
                        </w:p>
                      </w:txbxContent>
                    </wps:txbx>
                    <wps:bodyPr wrap="none" lIns="0" rIns="0" tIns="0" bIns="0" anchor="ctr">
                      <a:prstTxWarp prst="textPlain"/>
                      <a:noAutofit/>
                    </wps:bodyPr>
                  </wps:wsp>
                </a:graphicData>
              </a:graphic>
            </wp:anchor>
          </w:drawing>
        </mc:Choice>
        <mc:Fallback>
          <w:pict>
            <v:rect id="shape_0" fillcolor="silver" stroked="f" o:allowincell="f" style="position:absolute;margin-left:239.25pt;margin-top:331pt;width:3.4pt;height:1.15pt;mso-wrap-style:none;v-text-anchor:middle;rotation:315;mso-position-horizontal:center;mso-position-horizontal-relative:margin;mso-position-vertical:center;mso-position-vertical-relative:margin">
              <v:textbox>
                <w:txbxContent>
                  <w:p>
                    <w:pPr>
                      <w:overflowPunct w:val="false"/>
                      <w:spacing w:before="0" w:after="0"/>
                      <w:jc w:val="left"/>
                      <w:rPr/>
                    </w:pPr>
                    <w:r>
                      <w:rPr>
                        <w:sz w:val="2"/>
                        <w:szCs w:val="20"/>
                        <w:rFonts w:ascii="Liberation Sans" w:hAnsi="Liberation Sans"/>
                        <w:lang w:eastAsia="it-IT"/>
                      </w:rPr>
                      <w:t>BOZZA</w:t>
                    </w:r>
                  </w:p>
                </w:txbxContent>
              </v:textbox>
              <v:path textpathok="t"/>
              <v:textpath on="t" fitshape="t" string="BOZZA" style="font-family:&quot;Liberation Sans&quot;;font-size:1pt"/>
              <v:fill o:detectmouseclick="t" type="solid" color2="#3f3f3f" opacity="0.5"/>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18">
              <wp:simplePos x="0" y="0"/>
              <wp:positionH relativeFrom="column">
                <wp:posOffset>-224155</wp:posOffset>
              </wp:positionH>
              <wp:positionV relativeFrom="paragraph">
                <wp:posOffset>-184785</wp:posOffset>
              </wp:positionV>
              <wp:extent cx="4189730" cy="694690"/>
              <wp:effectExtent l="0" t="0" r="0" b="0"/>
              <wp:wrapNone/>
              <wp:docPr id="9" name=""/>
              <a:graphic xmlns:a="http://schemas.openxmlformats.org/drawingml/2006/main">
                <a:graphicData uri="http://schemas.microsoft.com/office/word/2010/wordprocessingShape">
                  <wps:wsp>
                    <wps:cNvSpPr txBox="1"/>
                    <wps:spPr>
                      <a:xfrm>
                        <a:off x="0" y="0"/>
                        <a:ext cx="4189730" cy="694690"/>
                      </a:xfrm>
                      <a:prstGeom prst="rect"/>
                      <a:solidFill>
                        <a:srgbClr val="FFFFFF">
                          <a:alpha val="0"/>
                        </a:srgbClr>
                      </a:solidFill>
                    </wps:spPr>
                    <wps:txbx>
                      <w:txbxContent>
                        <w:p>
                          <w:pPr>
                            <w:pStyle w:val="Contenutocornice"/>
                            <w:spacing w:before="60" w:after="0"/>
                            <w:rPr>
                              <w:color w:val="000000"/>
                            </w:rPr>
                          </w:pPr>
                          <w:r>
                            <w:rPr/>
                            <w:drawing>
                              <wp:inline distT="0" distB="0" distL="0" distR="0">
                                <wp:extent cx="2359025" cy="446405"/>
                                <wp:effectExtent l="0" t="0" r="0" b="0"/>
                                <wp:docPr id="10"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7" descr=""/>
                                        <pic:cNvPicPr>
                                          <a:picLocks noChangeAspect="1" noChangeArrowheads="1"/>
                                        </pic:cNvPicPr>
                                      </pic:nvPicPr>
                                      <pic:blipFill>
                                        <a:blip r:embed="rId1"/>
                                        <a:stretch>
                                          <a:fillRect/>
                                        </a:stretch>
                                      </pic:blipFill>
                                      <pic:spPr bwMode="auto">
                                        <a:xfrm>
                                          <a:off x="0" y="0"/>
                                          <a:ext cx="2359025" cy="44640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stroked="f" strokeweight="0pt" style="position:absolute;rotation:-0;width:329.9pt;height:54.7pt;mso-wrap-distance-left:9pt;mso-wrap-distance-right:9pt;mso-wrap-distance-top:0pt;mso-wrap-distance-bottom:0pt;margin-top:-14.55pt;mso-position-vertical-relative:text;margin-left:-17.65pt;mso-position-horizontal-relative:text">
              <v:textbox>
                <w:txbxContent>
                  <w:p>
                    <w:pPr>
                      <w:pStyle w:val="Contenutocornice"/>
                      <w:spacing w:before="60" w:after="0"/>
                      <w:rPr>
                        <w:color w:val="000000"/>
                      </w:rPr>
                    </w:pPr>
                    <w:r>
                      <w:rPr/>
                      <w:drawing>
                        <wp:inline distT="0" distB="0" distL="0" distR="0">
                          <wp:extent cx="2359025" cy="446405"/>
                          <wp:effectExtent l="0" t="0" r="0" b="0"/>
                          <wp:docPr id="11"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7" descr=""/>
                                  <pic:cNvPicPr>
                                    <a:picLocks noChangeAspect="1" noChangeArrowheads="1"/>
                                  </pic:cNvPicPr>
                                </pic:nvPicPr>
                                <pic:blipFill>
                                  <a:blip r:embed="rId2"/>
                                  <a:stretch>
                                    <a:fillRect/>
                                  </a:stretch>
                                </pic:blipFill>
                                <pic:spPr bwMode="auto">
                                  <a:xfrm>
                                    <a:off x="0" y="0"/>
                                    <a:ext cx="2359025" cy="446405"/>
                                  </a:xfrm>
                                  <a:prstGeom prst="rect">
                                    <a:avLst/>
                                  </a:prstGeom>
                                </pic:spPr>
                              </pic:pic>
                            </a:graphicData>
                          </a:graphic>
                        </wp:inline>
                      </w:drawing>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pStyle w:val="Titolo2"/>
      <w:numFmt w:val="decimal"/>
      <w:lvlText w:val="%1.%2."/>
      <w:lvlJc w:val="left"/>
      <w:pPr>
        <w:tabs>
          <w:tab w:val="num" w:pos="0"/>
        </w:tabs>
        <w:ind w:left="4460" w:hanging="207"/>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4460" w:hanging="207"/>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
      <w:lvlJc w:val="left"/>
      <w:pPr>
        <w:tabs>
          <w:tab w:val="num" w:pos="0"/>
        </w:tabs>
        <w:ind w:left="360" w:hanging="360"/>
      </w:pPr>
      <w:rPr/>
    </w:lvl>
    <w:lvl w:ilvl="1">
      <w:start w:val="1"/>
      <w:numFmt w:val="decimal"/>
      <w:lvlText w:val=""/>
      <w:lvlJc w:val="left"/>
      <w:pPr>
        <w:tabs>
          <w:tab w:val="num" w:pos="0"/>
        </w:tabs>
        <w:ind w:left="4460" w:hanging="207"/>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decimal"/>
      <w:lvlText w:val=""/>
      <w:lvlJc w:val="left"/>
      <w:pPr>
        <w:tabs>
          <w:tab w:val="num" w:pos="0"/>
        </w:tabs>
        <w:ind w:left="360" w:hanging="360"/>
      </w:pPr>
      <w:rPr/>
    </w:lvl>
    <w:lvl w:ilvl="1">
      <w:start w:val="1"/>
      <w:numFmt w:val="decimal"/>
      <w:lvlText w:val=""/>
      <w:lvlJc w:val="left"/>
      <w:pPr>
        <w:tabs>
          <w:tab w:val="num" w:pos="0"/>
        </w:tabs>
        <w:ind w:left="4460" w:hanging="207"/>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decimal"/>
      <w:lvlText w:val=""/>
      <w:lvlJc w:val="left"/>
      <w:pPr>
        <w:tabs>
          <w:tab w:val="num" w:pos="0"/>
        </w:tabs>
        <w:ind w:left="360" w:hanging="360"/>
      </w:pPr>
      <w:rPr/>
    </w:lvl>
    <w:lvl w:ilvl="1">
      <w:start w:val="1"/>
      <w:numFmt w:val="decimal"/>
      <w:lvlText w:val=""/>
      <w:lvlJc w:val="left"/>
      <w:pPr>
        <w:tabs>
          <w:tab w:val="num" w:pos="0"/>
        </w:tabs>
        <w:ind w:left="4460" w:hanging="207"/>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6">
    <w:lvl w:ilvl="0">
      <w:start w:val="1"/>
      <w:numFmt w:val="decimal"/>
      <w:lvlText w:val=""/>
      <w:lvlJc w:val="left"/>
      <w:pPr>
        <w:tabs>
          <w:tab w:val="num" w:pos="0"/>
        </w:tabs>
        <w:ind w:left="360" w:hanging="360"/>
      </w:pPr>
      <w:rPr/>
    </w:lvl>
    <w:lvl w:ilvl="1">
      <w:start w:val="1"/>
      <w:numFmt w:val="decimal"/>
      <w:lvlText w:val=""/>
      <w:lvlJc w:val="left"/>
      <w:pPr>
        <w:tabs>
          <w:tab w:val="num" w:pos="0"/>
        </w:tabs>
        <w:ind w:left="4460" w:hanging="207"/>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
    <w:lvlOverride w:ilvl="0">
      <w:lvl w:ilvl="0">
        <w:start w:val="1"/>
        <w:numFmt w:val="decimal"/>
        <w:lvlText w:val=""/>
        <w:lvlJc w:val="left"/>
        <w:pPr>
          <w:tabs>
            <w:tab w:val="num" w:pos="0"/>
          </w:tabs>
          <w:ind w:left="360" w:hanging="360"/>
        </w:pPr>
        <w:rPr/>
      </w:lvl>
    </w:lvlOverride>
    <w:lvlOverride w:ilvl="1">
      <w:lvl w:ilvl="1">
        <w:start w:val="1"/>
        <w:numFmt w:val="decimal"/>
        <w:lvlText w:val=""/>
        <w:lvlJc w:val="left"/>
        <w:pPr>
          <w:tabs>
            <w:tab w:val="num" w:pos="0"/>
          </w:tabs>
          <w:ind w:left="4460" w:hanging="207"/>
        </w:pPr>
        <w:rPr/>
      </w:lvl>
    </w:lvlOverride>
    <w:lvlOverride w:ilvl="2">
      <w:lvl w:ilvl="2">
        <w:start w:val="1"/>
        <w:numFmt w:val="none"/>
        <w:suff w:val="nothing"/>
        <w:lvlText w:val=""/>
        <w:lvlJc w:val="left"/>
        <w:pPr>
          <w:tabs>
            <w:tab w:val="num" w:pos="0"/>
          </w:tabs>
          <w:ind w:left="0" w:hanging="0"/>
        </w:pPr>
        <w:rPr/>
      </w:lvl>
    </w:lvlOverride>
    <w:lvlOverride w:ilvl="3">
      <w:lvl w:ilvl="3">
        <w:start w:val="1"/>
        <w:numFmt w:val="none"/>
        <w:suff w:val="nothing"/>
        <w:lvlText w:val=""/>
        <w:lvlJc w:val="left"/>
        <w:pPr>
          <w:tabs>
            <w:tab w:val="num" w:pos="0"/>
          </w:tabs>
          <w:ind w:left="0" w:hanging="0"/>
        </w:pPr>
        <w:rPr/>
      </w:lvl>
    </w:lvlOverride>
    <w:lvlOverride w:ilvl="4">
      <w:lvl w:ilvl="4">
        <w:start w:val="1"/>
        <w:numFmt w:val="none"/>
        <w:suff w:val="nothing"/>
        <w:lvlText w:val=""/>
        <w:lvlJc w:val="left"/>
        <w:pPr>
          <w:tabs>
            <w:tab w:val="num" w:pos="0"/>
          </w:tabs>
          <w:ind w:left="0" w:hanging="0"/>
        </w:pPr>
        <w:rPr/>
      </w:lvl>
    </w:lvlOverride>
    <w:lvlOverride w:ilvl="5">
      <w:lvl w:ilvl="5">
        <w:start w:val="1"/>
        <w:numFmt w:val="none"/>
        <w:suff w:val="nothing"/>
        <w:lvlText w:val=""/>
        <w:lvlJc w:val="left"/>
        <w:pPr>
          <w:tabs>
            <w:tab w:val="num" w:pos="0"/>
          </w:tabs>
          <w:ind w:left="0" w:hanging="0"/>
        </w:pPr>
        <w:rPr/>
      </w:lvl>
    </w:lvlOverride>
    <w:lvlOverride w:ilvl="6">
      <w:lvl w:ilvl="6">
        <w:start w:val="1"/>
        <w:numFmt w:val="none"/>
        <w:suff w:val="nothing"/>
        <w:lvlText w:val=""/>
        <w:lvlJc w:val="left"/>
        <w:pPr>
          <w:tabs>
            <w:tab w:val="num" w:pos="0"/>
          </w:tabs>
          <w:ind w:left="0" w:hanging="0"/>
        </w:pPr>
        <w:rPr/>
      </w:lvl>
    </w:lvlOverride>
    <w:lvlOverride w:ilvl="7">
      <w:lvl w:ilvl="7">
        <w:start w:val="1"/>
        <w:numFmt w:val="none"/>
        <w:suff w:val="nothing"/>
        <w:lvlText w:val=""/>
        <w:lvlJc w:val="left"/>
        <w:pPr>
          <w:tabs>
            <w:tab w:val="num" w:pos="0"/>
          </w:tabs>
          <w:ind w:left="0" w:hanging="0"/>
        </w:pPr>
        <w:rPr/>
      </w:lvl>
    </w:lvlOverride>
    <w:lvlOverride w:ilvl="8">
      <w:lvl w:ilvl="8">
        <w:start w:val="1"/>
        <w:numFmt w:val="none"/>
        <w:suff w:val="nothing"/>
        <w:lvlText w:val=""/>
        <w:lvlJc w:val="left"/>
        <w:pPr>
          <w:tabs>
            <w:tab w:val="num" w:pos="0"/>
          </w:tabs>
          <w:ind w:left="0" w:hanging="0"/>
        </w:pPr>
        <w:rPr/>
      </w:lvl>
    </w:lvlOverride>
  </w:num>
  <w:num w:numId="8">
    <w:abstractNumId w:val="2"/>
    <w:lvlOverride w:ilvl="0">
      <w:lvl w:ilvl="0">
        <w:start w:val="1"/>
        <w:numFmt w:val="decimal"/>
        <w:lvlText w:val=""/>
        <w:lvlJc w:val="left"/>
        <w:pPr>
          <w:tabs>
            <w:tab w:val="num" w:pos="0"/>
          </w:tabs>
          <w:ind w:left="360" w:hanging="360"/>
        </w:pPr>
        <w:rPr/>
      </w:lvl>
    </w:lvlOverride>
    <w:lvlOverride w:ilvl="1">
      <w:lvl w:ilvl="1">
        <w:start w:val="1"/>
        <w:numFmt w:val="decimal"/>
        <w:lvlText w:val=""/>
        <w:lvlJc w:val="left"/>
        <w:pPr>
          <w:tabs>
            <w:tab w:val="num" w:pos="0"/>
          </w:tabs>
          <w:ind w:left="4460" w:hanging="207"/>
        </w:pPr>
        <w:rPr/>
      </w:lvl>
    </w:lvlOverride>
    <w:lvlOverride w:ilvl="2">
      <w:lvl w:ilvl="2">
        <w:start w:val="1"/>
        <w:numFmt w:val="none"/>
        <w:suff w:val="nothing"/>
        <w:lvlText w:val=""/>
        <w:lvlJc w:val="left"/>
        <w:pPr>
          <w:tabs>
            <w:tab w:val="num" w:pos="0"/>
          </w:tabs>
          <w:ind w:left="0" w:hanging="0"/>
        </w:pPr>
        <w:rPr/>
      </w:lvl>
    </w:lvlOverride>
    <w:lvlOverride w:ilvl="3">
      <w:lvl w:ilvl="3">
        <w:start w:val="1"/>
        <w:numFmt w:val="none"/>
        <w:suff w:val="nothing"/>
        <w:lvlText w:val=""/>
        <w:lvlJc w:val="left"/>
        <w:pPr>
          <w:tabs>
            <w:tab w:val="num" w:pos="0"/>
          </w:tabs>
          <w:ind w:left="0" w:hanging="0"/>
        </w:pPr>
        <w:rPr/>
      </w:lvl>
    </w:lvlOverride>
    <w:lvlOverride w:ilvl="4">
      <w:lvl w:ilvl="4">
        <w:start w:val="1"/>
        <w:numFmt w:val="none"/>
        <w:suff w:val="nothing"/>
        <w:lvlText w:val=""/>
        <w:lvlJc w:val="left"/>
        <w:pPr>
          <w:tabs>
            <w:tab w:val="num" w:pos="0"/>
          </w:tabs>
          <w:ind w:left="0" w:hanging="0"/>
        </w:pPr>
        <w:rPr/>
      </w:lvl>
    </w:lvlOverride>
    <w:lvlOverride w:ilvl="5">
      <w:lvl w:ilvl="5">
        <w:start w:val="1"/>
        <w:numFmt w:val="none"/>
        <w:suff w:val="nothing"/>
        <w:lvlText w:val=""/>
        <w:lvlJc w:val="left"/>
        <w:pPr>
          <w:tabs>
            <w:tab w:val="num" w:pos="0"/>
          </w:tabs>
          <w:ind w:left="0" w:hanging="0"/>
        </w:pPr>
        <w:rPr/>
      </w:lvl>
    </w:lvlOverride>
    <w:lvlOverride w:ilvl="6">
      <w:lvl w:ilvl="6">
        <w:start w:val="1"/>
        <w:numFmt w:val="none"/>
        <w:suff w:val="nothing"/>
        <w:lvlText w:val=""/>
        <w:lvlJc w:val="left"/>
        <w:pPr>
          <w:tabs>
            <w:tab w:val="num" w:pos="0"/>
          </w:tabs>
          <w:ind w:left="0" w:hanging="0"/>
        </w:pPr>
        <w:rPr/>
      </w:lvl>
    </w:lvlOverride>
    <w:lvlOverride w:ilvl="7">
      <w:lvl w:ilvl="7">
        <w:start w:val="1"/>
        <w:numFmt w:val="none"/>
        <w:suff w:val="nothing"/>
        <w:lvlText w:val=""/>
        <w:lvlJc w:val="left"/>
        <w:pPr>
          <w:tabs>
            <w:tab w:val="num" w:pos="0"/>
          </w:tabs>
          <w:ind w:left="0" w:hanging="0"/>
        </w:pPr>
        <w:rPr/>
      </w:lvl>
    </w:lvlOverride>
    <w:lvlOverride w:ilvl="8">
      <w:lvl w:ilvl="8">
        <w:start w:val="1"/>
        <w:numFmt w:val="none"/>
        <w:suff w:val="nothing"/>
        <w:lvlText w:val=""/>
        <w:lvlJc w:val="left"/>
        <w:pPr>
          <w:tabs>
            <w:tab w:val="num" w:pos="0"/>
          </w:tabs>
          <w:ind w:left="0" w:hanging="0"/>
        </w:pPr>
        <w:rPr/>
      </w:lvl>
    </w:lvlOverride>
  </w:num>
  <w:num w:numId="9">
    <w:abstractNumId w:val="2"/>
    <w:lvlOverride w:ilvl="0">
      <w:lvl w:ilvl="0">
        <w:start w:val="1"/>
        <w:numFmt w:val="decimal"/>
        <w:lvlText w:val=""/>
        <w:lvlJc w:val="left"/>
        <w:pPr>
          <w:tabs>
            <w:tab w:val="num" w:pos="0"/>
          </w:tabs>
          <w:ind w:left="360" w:hanging="360"/>
        </w:pPr>
        <w:rPr/>
      </w:lvl>
    </w:lvlOverride>
    <w:lvlOverride w:ilvl="1">
      <w:lvl w:ilvl="1">
        <w:start w:val="1"/>
        <w:numFmt w:val="decimal"/>
        <w:lvlText w:val=""/>
        <w:lvlJc w:val="left"/>
        <w:pPr>
          <w:tabs>
            <w:tab w:val="num" w:pos="0"/>
          </w:tabs>
          <w:ind w:left="4460" w:hanging="207"/>
        </w:pPr>
        <w:rPr/>
      </w:lvl>
    </w:lvlOverride>
    <w:lvlOverride w:ilvl="2">
      <w:lvl w:ilvl="2">
        <w:start w:val="1"/>
        <w:numFmt w:val="none"/>
        <w:suff w:val="nothing"/>
        <w:lvlText w:val=""/>
        <w:lvlJc w:val="left"/>
        <w:pPr>
          <w:tabs>
            <w:tab w:val="num" w:pos="0"/>
          </w:tabs>
          <w:ind w:left="0" w:hanging="0"/>
        </w:pPr>
        <w:rPr/>
      </w:lvl>
    </w:lvlOverride>
    <w:lvlOverride w:ilvl="3">
      <w:lvl w:ilvl="3">
        <w:start w:val="1"/>
        <w:numFmt w:val="none"/>
        <w:suff w:val="nothing"/>
        <w:lvlText w:val=""/>
        <w:lvlJc w:val="left"/>
        <w:pPr>
          <w:tabs>
            <w:tab w:val="num" w:pos="0"/>
          </w:tabs>
          <w:ind w:left="0" w:hanging="0"/>
        </w:pPr>
        <w:rPr/>
      </w:lvl>
    </w:lvlOverride>
    <w:lvlOverride w:ilvl="4">
      <w:lvl w:ilvl="4">
        <w:start w:val="1"/>
        <w:numFmt w:val="none"/>
        <w:suff w:val="nothing"/>
        <w:lvlText w:val=""/>
        <w:lvlJc w:val="left"/>
        <w:pPr>
          <w:tabs>
            <w:tab w:val="num" w:pos="0"/>
          </w:tabs>
          <w:ind w:left="0" w:hanging="0"/>
        </w:pPr>
        <w:rPr/>
      </w:lvl>
    </w:lvlOverride>
    <w:lvlOverride w:ilvl="5">
      <w:lvl w:ilvl="5">
        <w:start w:val="1"/>
        <w:numFmt w:val="none"/>
        <w:suff w:val="nothing"/>
        <w:lvlText w:val=""/>
        <w:lvlJc w:val="left"/>
        <w:pPr>
          <w:tabs>
            <w:tab w:val="num" w:pos="0"/>
          </w:tabs>
          <w:ind w:left="0" w:hanging="0"/>
        </w:pPr>
        <w:rPr/>
      </w:lvl>
    </w:lvlOverride>
    <w:lvlOverride w:ilvl="6">
      <w:lvl w:ilvl="6">
        <w:start w:val="1"/>
        <w:numFmt w:val="none"/>
        <w:suff w:val="nothing"/>
        <w:lvlText w:val=""/>
        <w:lvlJc w:val="left"/>
        <w:pPr>
          <w:tabs>
            <w:tab w:val="num" w:pos="0"/>
          </w:tabs>
          <w:ind w:left="0" w:hanging="0"/>
        </w:pPr>
        <w:rPr/>
      </w:lvl>
    </w:lvlOverride>
    <w:lvlOverride w:ilvl="7">
      <w:lvl w:ilvl="7">
        <w:start w:val="1"/>
        <w:numFmt w:val="none"/>
        <w:suff w:val="nothing"/>
        <w:lvlText w:val=""/>
        <w:lvlJc w:val="left"/>
        <w:pPr>
          <w:tabs>
            <w:tab w:val="num" w:pos="0"/>
          </w:tabs>
          <w:ind w:left="0" w:hanging="0"/>
        </w:pPr>
        <w:rPr/>
      </w:lvl>
    </w:lvlOverride>
    <w:lvlOverride w:ilvl="8">
      <w:lvl w:ilvl="8">
        <w:start w:val="1"/>
        <w:numFmt w:val="none"/>
        <w:suff w:val="nothing"/>
        <w:lvlText w:val=""/>
        <w:lvlJc w:val="left"/>
        <w:pPr>
          <w:tabs>
            <w:tab w:val="num" w:pos="0"/>
          </w:tabs>
          <w:ind w:left="0" w:hanging="0"/>
        </w:pPr>
        <w:rPr/>
      </w:lvl>
    </w:lvlOverride>
  </w:num>
  <w:num w:numId="10">
    <w:abstractNumId w:val="2"/>
    <w:lvlOverride w:ilvl="0">
      <w:lvl w:ilvl="0">
        <w:start w:val="1"/>
        <w:numFmt w:val="decimal"/>
        <w:lvlText w:val=""/>
        <w:lvlJc w:val="left"/>
        <w:pPr>
          <w:tabs>
            <w:tab w:val="num" w:pos="0"/>
          </w:tabs>
          <w:ind w:left="360" w:hanging="360"/>
        </w:pPr>
        <w:rPr/>
      </w:lvl>
    </w:lvlOverride>
    <w:lvlOverride w:ilvl="1">
      <w:lvl w:ilvl="1">
        <w:start w:val="1"/>
        <w:numFmt w:val="decimal"/>
        <w:lvlText w:val=""/>
        <w:lvlJc w:val="left"/>
        <w:pPr>
          <w:tabs>
            <w:tab w:val="num" w:pos="0"/>
          </w:tabs>
          <w:ind w:left="4460" w:hanging="207"/>
        </w:pPr>
        <w:rPr/>
      </w:lvl>
    </w:lvlOverride>
    <w:lvlOverride w:ilvl="2">
      <w:lvl w:ilvl="2">
        <w:start w:val="1"/>
        <w:numFmt w:val="none"/>
        <w:suff w:val="nothing"/>
        <w:lvlText w:val=""/>
        <w:lvlJc w:val="left"/>
        <w:pPr>
          <w:tabs>
            <w:tab w:val="num" w:pos="0"/>
          </w:tabs>
          <w:ind w:left="0" w:hanging="0"/>
        </w:pPr>
        <w:rPr/>
      </w:lvl>
    </w:lvlOverride>
    <w:lvlOverride w:ilvl="3">
      <w:lvl w:ilvl="3">
        <w:start w:val="1"/>
        <w:numFmt w:val="none"/>
        <w:suff w:val="nothing"/>
        <w:lvlText w:val=""/>
        <w:lvlJc w:val="left"/>
        <w:pPr>
          <w:tabs>
            <w:tab w:val="num" w:pos="0"/>
          </w:tabs>
          <w:ind w:left="0" w:hanging="0"/>
        </w:pPr>
        <w:rPr/>
      </w:lvl>
    </w:lvlOverride>
    <w:lvlOverride w:ilvl="4">
      <w:lvl w:ilvl="4">
        <w:start w:val="1"/>
        <w:numFmt w:val="none"/>
        <w:suff w:val="nothing"/>
        <w:lvlText w:val=""/>
        <w:lvlJc w:val="left"/>
        <w:pPr>
          <w:tabs>
            <w:tab w:val="num" w:pos="0"/>
          </w:tabs>
          <w:ind w:left="0" w:hanging="0"/>
        </w:pPr>
        <w:rPr/>
      </w:lvl>
    </w:lvlOverride>
    <w:lvlOverride w:ilvl="5">
      <w:lvl w:ilvl="5">
        <w:start w:val="1"/>
        <w:numFmt w:val="none"/>
        <w:suff w:val="nothing"/>
        <w:lvlText w:val=""/>
        <w:lvlJc w:val="left"/>
        <w:pPr>
          <w:tabs>
            <w:tab w:val="num" w:pos="0"/>
          </w:tabs>
          <w:ind w:left="0" w:hanging="0"/>
        </w:pPr>
        <w:rPr/>
      </w:lvl>
    </w:lvlOverride>
    <w:lvlOverride w:ilvl="6">
      <w:lvl w:ilvl="6">
        <w:start w:val="1"/>
        <w:numFmt w:val="none"/>
        <w:suff w:val="nothing"/>
        <w:lvlText w:val=""/>
        <w:lvlJc w:val="left"/>
        <w:pPr>
          <w:tabs>
            <w:tab w:val="num" w:pos="0"/>
          </w:tabs>
          <w:ind w:left="0" w:hanging="0"/>
        </w:pPr>
        <w:rPr/>
      </w:lvl>
    </w:lvlOverride>
    <w:lvlOverride w:ilvl="7">
      <w:lvl w:ilvl="7">
        <w:start w:val="1"/>
        <w:numFmt w:val="none"/>
        <w:suff w:val="nothing"/>
        <w:lvlText w:val=""/>
        <w:lvlJc w:val="left"/>
        <w:pPr>
          <w:tabs>
            <w:tab w:val="num" w:pos="0"/>
          </w:tabs>
          <w:ind w:left="0" w:hanging="0"/>
        </w:pPr>
        <w:rPr/>
      </w:lvl>
    </w:lvlOverride>
    <w:lvlOverride w:ilvl="8">
      <w:lvl w:ilvl="8">
        <w:start w:val="1"/>
        <w:numFmt w:val="none"/>
        <w:suff w:val="nothing"/>
        <w:lvlText w:val=""/>
        <w:lvlJc w:val="left"/>
        <w:pPr>
          <w:tabs>
            <w:tab w:val="num" w:pos="0"/>
          </w:tabs>
          <w:ind w:left="0" w:hanging="0"/>
        </w:pPr>
        <w:rPr/>
      </w:lvl>
    </w:lvlOverride>
  </w:num>
</w:numbering>
</file>

<file path=word/settings.xml><?xml version="1.0" encoding="utf-8"?>
<w:settings xmlns:w="http://schemas.openxmlformats.org/wordprocessingml/2006/main">
  <w:zoom w:percent="128"/>
  <w:embedSystemFonts/>
  <w:defaultTabStop w:val="408"/>
  <w:autoHyphenation w:val="true"/>
  <w:footnotePr>
    <w:numFmt w:val="decimal"/>
    <w:footnote w:id="0"/>
    <w:footnote w:id="1"/>
  </w:footnotePr>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it-IT" w:eastAsia="it-IT"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styleId="Normal" w:default="1">
    <w:name w:val="Normal"/>
    <w:qFormat/>
    <w:rsid w:val="00684909"/>
    <w:pPr>
      <w:widowControl/>
      <w:suppressAutoHyphens w:val="true"/>
      <w:bidi w:val="0"/>
      <w:spacing w:before="60" w:after="0"/>
      <w:jc w:val="both"/>
    </w:pPr>
    <w:rPr>
      <w:rFonts w:ascii="Arial" w:hAnsi="Arial" w:eastAsia="Cambria" w:cs="Times New Roman"/>
      <w:color w:val="auto"/>
      <w:kern w:val="0"/>
      <w:sz w:val="20"/>
      <w:szCs w:val="24"/>
      <w:lang w:eastAsia="en-US" w:val="it-IT" w:bidi="ar-SA"/>
    </w:rPr>
  </w:style>
  <w:style w:type="paragraph" w:styleId="Titolo1" w:customStyle="1">
    <w:name w:val="Heading 1"/>
    <w:basedOn w:val="Titoloprincipale"/>
    <w:next w:val="Titolo2"/>
    <w:link w:val="Titolo1Carattere"/>
    <w:qFormat/>
    <w:rsid w:val="00ec71a6"/>
    <w:pPr>
      <w:keepNext w:val="true"/>
      <w:spacing w:before="720" w:after="480"/>
      <w:jc w:val="left"/>
    </w:pPr>
    <w:rPr>
      <w:rFonts w:ascii="Arial" w:hAnsi="Arial"/>
      <w:bCs w:val="false"/>
      <w:sz w:val="40"/>
    </w:rPr>
  </w:style>
  <w:style w:type="paragraph" w:styleId="Titolo2" w:customStyle="1">
    <w:name w:val="Heading 2"/>
    <w:basedOn w:val="Titolo1"/>
    <w:next w:val="Titolo31"/>
    <w:link w:val="Titolo2Carattere"/>
    <w:qFormat/>
    <w:rsid w:val="00c0473a"/>
    <w:pPr>
      <w:numPr>
        <w:ilvl w:val="1"/>
        <w:numId w:val="1"/>
      </w:numPr>
      <w:pBdr>
        <w:bottom w:val="single" w:sz="4" w:space="1" w:color="00B0F0"/>
      </w:pBdr>
      <w:spacing w:before="600" w:after="480"/>
      <w:ind w:left="0" w:hanging="0"/>
      <w:outlineLvl w:val="1"/>
    </w:pPr>
    <w:rPr>
      <w:bCs/>
      <w:iCs/>
      <w:sz w:val="24"/>
      <w:szCs w:val="28"/>
    </w:rPr>
  </w:style>
  <w:style w:type="paragraph" w:styleId="Titolo3" w:customStyle="1">
    <w:name w:val="Heading 3"/>
    <w:basedOn w:val="Normal"/>
    <w:next w:val="Normal"/>
    <w:link w:val="Titolo3Carattere"/>
    <w:qFormat/>
    <w:rsid w:val="00411894"/>
    <w:pPr>
      <w:keepNext w:val="true"/>
      <w:spacing w:before="240" w:after="60"/>
      <w:outlineLvl w:val="2"/>
    </w:pPr>
    <w:rPr>
      <w:rFonts w:ascii="Calibri" w:hAnsi="Calibri" w:eastAsia="Times New Roman"/>
      <w:b/>
      <w:bCs/>
      <w:sz w:val="26"/>
      <w:szCs w:val="26"/>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237603"/>
    <w:rPr>
      <w:rFonts w:ascii="Arial" w:hAnsi="Arial"/>
      <w:szCs w:val="24"/>
      <w:lang w:eastAsia="en-US"/>
    </w:rPr>
  </w:style>
  <w:style w:type="character" w:styleId="PidipaginaCarattere" w:customStyle="1">
    <w:name w:val="Piè di pagina Carattere"/>
    <w:basedOn w:val="DefaultParagraphFont"/>
    <w:uiPriority w:val="99"/>
    <w:qFormat/>
    <w:rsid w:val="00684909"/>
    <w:rPr>
      <w:rFonts w:ascii="Arial" w:hAnsi="Arial"/>
      <w:sz w:val="16"/>
      <w:szCs w:val="24"/>
      <w:lang w:eastAsia="en-US"/>
    </w:rPr>
  </w:style>
  <w:style w:type="character" w:styleId="Pagenumber">
    <w:name w:val="page number"/>
    <w:basedOn w:val="DefaultParagraphFont"/>
    <w:qFormat/>
    <w:rsid w:val="006c2874"/>
    <w:rPr/>
  </w:style>
  <w:style w:type="character" w:styleId="Titolo1Carattere" w:customStyle="1">
    <w:name w:val="Titolo 1 Carattere"/>
    <w:basedOn w:val="DefaultParagraphFont"/>
    <w:qFormat/>
    <w:rsid w:val="00ec71a6"/>
    <w:rPr>
      <w:rFonts w:ascii="Arial" w:hAnsi="Arial" w:eastAsia="Times New Roman"/>
      <w:b/>
      <w:kern w:val="2"/>
      <w:sz w:val="40"/>
      <w:szCs w:val="32"/>
      <w:lang w:eastAsia="en-US"/>
    </w:rPr>
  </w:style>
  <w:style w:type="character" w:styleId="Titolo2Carattere" w:customStyle="1">
    <w:name w:val="Titolo 2 Carattere"/>
    <w:basedOn w:val="DefaultParagraphFont"/>
    <w:qFormat/>
    <w:rsid w:val="00c0473a"/>
    <w:rPr>
      <w:rFonts w:ascii="Arial" w:hAnsi="Arial" w:eastAsia="Times New Roman"/>
      <w:b/>
      <w:bCs/>
      <w:iCs/>
      <w:kern w:val="2"/>
      <w:sz w:val="24"/>
      <w:szCs w:val="28"/>
      <w:lang w:eastAsia="en-US"/>
    </w:rPr>
  </w:style>
  <w:style w:type="character" w:styleId="Titolo3Carattere" w:customStyle="1">
    <w:name w:val="Titolo 3 Carattere"/>
    <w:basedOn w:val="DefaultParagraphFont"/>
    <w:qFormat/>
    <w:rsid w:val="00411894"/>
    <w:rPr>
      <w:rFonts w:ascii="Calibri" w:hAnsi="Calibri" w:eastAsia="Times New Roman" w:cs="Times New Roman"/>
      <w:b/>
      <w:bCs/>
      <w:sz w:val="26"/>
      <w:szCs w:val="26"/>
      <w:lang w:eastAsia="en-US"/>
    </w:rPr>
  </w:style>
  <w:style w:type="character" w:styleId="TitoloCarattere" w:customStyle="1">
    <w:name w:val="Titolo Carattere"/>
    <w:basedOn w:val="DefaultParagraphFont"/>
    <w:qFormat/>
    <w:rsid w:val="000c7609"/>
    <w:rPr>
      <w:rFonts w:ascii="Calibri" w:hAnsi="Calibri" w:eastAsia="Times New Roman" w:cs="Times New Roman"/>
      <w:b/>
      <w:bCs/>
      <w:color w:val="5F5748"/>
      <w:kern w:val="2"/>
      <w:sz w:val="32"/>
      <w:szCs w:val="32"/>
      <w:lang w:eastAsia="en-US"/>
    </w:rPr>
  </w:style>
  <w:style w:type="character" w:styleId="TestofumettoCarattere" w:customStyle="1">
    <w:name w:val="Testo fumetto Carattere"/>
    <w:basedOn w:val="DefaultParagraphFont"/>
    <w:link w:val="BalloonText"/>
    <w:qFormat/>
    <w:rsid w:val="0090691e"/>
    <w:rPr>
      <w:rFonts w:ascii="Tahoma" w:hAnsi="Tahoma" w:cs="Tahoma"/>
      <w:sz w:val="16"/>
      <w:szCs w:val="16"/>
      <w:lang w:eastAsia="en-US"/>
    </w:rPr>
  </w:style>
  <w:style w:type="character" w:styleId="TestonotaapidipaginaCarattere" w:customStyle="1">
    <w:name w:val="Testo nota a piè di pagina Carattere"/>
    <w:basedOn w:val="DefaultParagraphFont"/>
    <w:qFormat/>
    <w:rsid w:val="00f01e63"/>
    <w:rPr>
      <w:rFonts w:ascii="Arial" w:hAnsi="Arial"/>
      <w:lang w:eastAsia="en-US"/>
    </w:rPr>
  </w:style>
  <w:style w:type="character" w:styleId="Richiamoallanotaapidipagina" w:customStyle="1">
    <w:name w:val="Richiamo alla nota a piè di pagina"/>
    <w:rsid w:val="00021f10"/>
    <w:rPr>
      <w:vertAlign w:val="superscript"/>
    </w:rPr>
  </w:style>
  <w:style w:type="character" w:styleId="FootnoteCharacters">
    <w:name w:val="Footnote Characters"/>
    <w:basedOn w:val="DefaultParagraphFont"/>
    <w:qFormat/>
    <w:rsid w:val="007854a2"/>
    <w:rPr>
      <w:vertAlign w:val="superscript"/>
    </w:rPr>
  </w:style>
  <w:style w:type="character" w:styleId="Caratterinotaapidipagina" w:customStyle="1">
    <w:name w:val="Caratteri nota a piè di pagina"/>
    <w:qFormat/>
    <w:rsid w:val="00021f10"/>
    <w:rPr/>
  </w:style>
  <w:style w:type="character" w:styleId="Richiamoallanotadichiusura" w:customStyle="1">
    <w:name w:val="Richiamo alla nota di chiusura"/>
    <w:rsid w:val="00021f10"/>
    <w:rPr>
      <w:vertAlign w:val="superscript"/>
    </w:rPr>
  </w:style>
  <w:style w:type="character" w:styleId="Caratterinotadichiusura" w:customStyle="1">
    <w:name w:val="Caratteri nota di chiusura"/>
    <w:qFormat/>
    <w:rsid w:val="00021f10"/>
    <w:rPr/>
  </w:style>
  <w:style w:type="character" w:styleId="TestonotaapidipaginaCarattere1" w:customStyle="1">
    <w:name w:val="Testo nota a piè di pagina Carattere1"/>
    <w:basedOn w:val="DefaultParagraphFont"/>
    <w:qFormat/>
    <w:rsid w:val="007854a2"/>
    <w:rPr>
      <w:rFonts w:ascii="Arial" w:hAnsi="Arial"/>
      <w:lang w:eastAsia="en-US"/>
    </w:rPr>
  </w:style>
  <w:style w:type="character" w:styleId="IntestazioneCarattere1" w:customStyle="1">
    <w:name w:val="Intestazione Carattere1"/>
    <w:basedOn w:val="DefaultParagraphFont"/>
    <w:qFormat/>
    <w:rsid w:val="00e81baf"/>
    <w:rPr>
      <w:rFonts w:ascii="Arial" w:hAnsi="Arial"/>
      <w:szCs w:val="24"/>
      <w:lang w:eastAsia="en-US"/>
    </w:rPr>
  </w:style>
  <w:style w:type="character" w:styleId="PidipaginaCarattere1" w:customStyle="1">
    <w:name w:val="Piè di pagina Carattere1"/>
    <w:basedOn w:val="DefaultParagraphFont"/>
    <w:qFormat/>
    <w:rsid w:val="00e81baf"/>
    <w:rPr>
      <w:rFonts w:ascii="Arial" w:hAnsi="Arial"/>
      <w:szCs w:val="24"/>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021f10"/>
    <w:pPr>
      <w:spacing w:lineRule="auto" w:line="276" w:before="0" w:after="140"/>
    </w:pPr>
    <w:rPr/>
  </w:style>
  <w:style w:type="paragraph" w:styleId="Elenco">
    <w:name w:val="List"/>
    <w:basedOn w:val="Corpodeltesto"/>
    <w:rsid w:val="00021f10"/>
    <w:pPr/>
    <w:rPr>
      <w:rFonts w:cs="Arial Unicode MS"/>
    </w:rPr>
  </w:style>
  <w:style w:type="paragraph" w:styleId="Didascalia" w:customStyle="1">
    <w:name w:val="Caption"/>
    <w:basedOn w:val="Normal"/>
    <w:qFormat/>
    <w:rsid w:val="00021f10"/>
    <w:pPr>
      <w:suppressLineNumbers/>
      <w:spacing w:before="120" w:after="120"/>
    </w:pPr>
    <w:rPr>
      <w:rFonts w:cs="Arial Unicode MS"/>
      <w:i/>
      <w:iCs/>
      <w:sz w:val="24"/>
    </w:rPr>
  </w:style>
  <w:style w:type="paragraph" w:styleId="Indice" w:customStyle="1">
    <w:name w:val="Indice"/>
    <w:basedOn w:val="Normal"/>
    <w:qFormat/>
    <w:rsid w:val="00021f10"/>
    <w:pPr>
      <w:suppressLineNumbers/>
    </w:pPr>
    <w:rPr>
      <w:rFonts w:cs="Arial Unicode MS"/>
    </w:rPr>
  </w:style>
  <w:style w:type="paragraph" w:styleId="Titoloprincipale">
    <w:name w:val="Title"/>
    <w:basedOn w:val="Normal"/>
    <w:next w:val="Corpodeltesto"/>
    <w:link w:val="TitoloCarattere"/>
    <w:qFormat/>
    <w:rsid w:val="000c7609"/>
    <w:pPr>
      <w:spacing w:before="240" w:after="60"/>
      <w:jc w:val="center"/>
      <w:outlineLvl w:val="0"/>
    </w:pPr>
    <w:rPr>
      <w:rFonts w:ascii="Calibri" w:hAnsi="Calibri" w:eastAsia="Times New Roman"/>
      <w:b/>
      <w:bCs/>
      <w:kern w:val="2"/>
      <w:sz w:val="32"/>
      <w:szCs w:val="32"/>
    </w:rPr>
  </w:style>
  <w:style w:type="paragraph" w:styleId="Titolettoalto" w:customStyle="1">
    <w:name w:val="titoletto alto"/>
    <w:basedOn w:val="Normal"/>
    <w:qFormat/>
    <w:rsid w:val="00512c05"/>
    <w:pPr>
      <w:spacing w:before="240" w:after="180"/>
      <w:ind w:left="1134" w:hanging="0"/>
      <w:jc w:val="left"/>
    </w:pPr>
    <w:rPr>
      <w:sz w:val="24"/>
    </w:rPr>
  </w:style>
  <w:style w:type="paragraph" w:styleId="Titolocentrale" w:customStyle="1">
    <w:name w:val="titolo centrale"/>
    <w:basedOn w:val="Normal"/>
    <w:qFormat/>
    <w:rsid w:val="00512c05"/>
    <w:pPr>
      <w:spacing w:before="120" w:after="180"/>
      <w:ind w:left="1134" w:hanging="0"/>
      <w:jc w:val="left"/>
    </w:pPr>
    <w:rPr>
      <w:b/>
      <w:sz w:val="48"/>
    </w:rPr>
  </w:style>
  <w:style w:type="paragraph" w:styleId="Sottotitolo" w:customStyle="1">
    <w:name w:val="sottotitolo"/>
    <w:basedOn w:val="Normal"/>
    <w:qFormat/>
    <w:rsid w:val="00ab5980"/>
    <w:pPr>
      <w:spacing w:before="120" w:after="180"/>
      <w:ind w:left="1134" w:hanging="0"/>
      <w:jc w:val="left"/>
    </w:pPr>
    <w:rPr>
      <w:sz w:val="28"/>
    </w:rPr>
  </w:style>
  <w:style w:type="paragraph" w:styleId="Intestazioneepidipagina" w:customStyle="1">
    <w:name w:val="Intestazione e piè di pagina"/>
    <w:basedOn w:val="Normal"/>
    <w:qFormat/>
    <w:rsid w:val="00021f10"/>
    <w:pPr/>
    <w:rPr/>
  </w:style>
  <w:style w:type="paragraph" w:styleId="Intestazione">
    <w:name w:val="Header"/>
    <w:basedOn w:val="Normal"/>
    <w:link w:val="IntestazioneCarattere1"/>
    <w:rsid w:val="00e81baf"/>
    <w:pPr>
      <w:tabs>
        <w:tab w:val="clear" w:pos="408"/>
        <w:tab w:val="center" w:pos="4819" w:leader="none"/>
        <w:tab w:val="right" w:pos="9638" w:leader="none"/>
      </w:tabs>
      <w:spacing w:before="0" w:after="0"/>
    </w:pPr>
    <w:rPr/>
  </w:style>
  <w:style w:type="paragraph" w:styleId="Pidipagina">
    <w:name w:val="Footer"/>
    <w:basedOn w:val="Normal"/>
    <w:link w:val="PidipaginaCarattere1"/>
    <w:rsid w:val="00e81baf"/>
    <w:pPr>
      <w:tabs>
        <w:tab w:val="clear" w:pos="408"/>
        <w:tab w:val="center" w:pos="4819" w:leader="none"/>
        <w:tab w:val="right" w:pos="9638" w:leader="none"/>
      </w:tabs>
      <w:spacing w:before="0" w:after="0"/>
    </w:pPr>
    <w:rPr/>
  </w:style>
  <w:style w:type="paragraph" w:styleId="Titolo11" w:customStyle="1">
    <w:name w:val="titolo 1"/>
    <w:basedOn w:val="Titolo1"/>
    <w:next w:val="Normal"/>
    <w:qFormat/>
    <w:rsid w:val="00607a5a"/>
    <w:pPr>
      <w:tabs>
        <w:tab w:val="clear" w:pos="408"/>
        <w:tab w:val="left" w:pos="0" w:leader="none"/>
      </w:tabs>
      <w:spacing w:before="720" w:after="240"/>
      <w:ind w:left="431" w:hanging="431"/>
    </w:pPr>
    <w:rPr>
      <w:color w:val="5F5748"/>
    </w:rPr>
  </w:style>
  <w:style w:type="paragraph" w:styleId="Titolo31" w:customStyle="1">
    <w:name w:val="titolo 3"/>
    <w:basedOn w:val="Titolo3"/>
    <w:next w:val="Normal"/>
    <w:qFormat/>
    <w:rsid w:val="00684909"/>
    <w:pPr>
      <w:tabs>
        <w:tab w:val="clear" w:pos="408"/>
        <w:tab w:val="left" w:pos="0" w:leader="none"/>
      </w:tabs>
      <w:spacing w:before="480" w:after="120"/>
      <w:jc w:val="left"/>
    </w:pPr>
    <w:rPr>
      <w:rFonts w:ascii="Arial" w:hAnsi="Arial"/>
      <w:b w:val="false"/>
      <w:i/>
      <w:sz w:val="22"/>
    </w:rPr>
  </w:style>
  <w:style w:type="paragraph" w:styleId="Titolosenzanumerazione" w:customStyle="1">
    <w:name w:val="titolo senza numerazione"/>
    <w:basedOn w:val="Normal"/>
    <w:next w:val="Normal"/>
    <w:qFormat/>
    <w:rsid w:val="00f65b82"/>
    <w:pPr>
      <w:spacing w:before="480" w:after="240"/>
      <w:jc w:val="left"/>
    </w:pPr>
    <w:rPr>
      <w:b/>
      <w:sz w:val="32"/>
    </w:rPr>
  </w:style>
  <w:style w:type="paragraph" w:styleId="BalloonText">
    <w:name w:val="Balloon Text"/>
    <w:basedOn w:val="Normal"/>
    <w:link w:val="TestofumettoCarattere"/>
    <w:qFormat/>
    <w:rsid w:val="0090691e"/>
    <w:pPr>
      <w:spacing w:before="0" w:after="0"/>
    </w:pPr>
    <w:rPr>
      <w:rFonts w:ascii="Tahoma" w:hAnsi="Tahoma" w:cs="Tahoma"/>
      <w:sz w:val="16"/>
      <w:szCs w:val="16"/>
    </w:rPr>
  </w:style>
  <w:style w:type="paragraph" w:styleId="Notaapidipagina">
    <w:name w:val="Footnote Text"/>
    <w:basedOn w:val="Normal"/>
    <w:link w:val="TestonotaapidipaginaCarattere1"/>
    <w:rsid w:val="007854a2"/>
    <w:pPr>
      <w:spacing w:before="0" w:after="0"/>
    </w:pPr>
    <w:rPr>
      <w:szCs w:val="20"/>
    </w:rPr>
  </w:style>
  <w:style w:type="paragraph" w:styleId="ListParagraph">
    <w:name w:val="List Paragraph"/>
    <w:basedOn w:val="Normal"/>
    <w:qFormat/>
    <w:rsid w:val="00e55020"/>
    <w:pPr>
      <w:spacing w:before="60" w:after="0"/>
      <w:ind w:left="720" w:hanging="0"/>
      <w:contextualSpacing/>
    </w:pPr>
    <w:rPr/>
  </w:style>
  <w:style w:type="paragraph" w:styleId="Contenutocornice" w:customStyle="1">
    <w:name w:val="Contenuto cornice"/>
    <w:basedOn w:val="Normal"/>
    <w:qFormat/>
    <w:rsid w:val="00021f10"/>
    <w:pPr/>
    <w:rPr/>
  </w:style>
  <w:style w:type="paragraph" w:styleId="Contenutotabella" w:customStyle="1">
    <w:name w:val="Contenuto tabella"/>
    <w:basedOn w:val="Normal"/>
    <w:qFormat/>
    <w:rsid w:val="00021f10"/>
    <w:pPr>
      <w:widowControl w:val="false"/>
      <w:suppressLineNumbers/>
    </w:pPr>
    <w:rPr/>
  </w:style>
  <w:style w:type="paragraph" w:styleId="Titolotabella" w:customStyle="1">
    <w:name w:val="Titolo tabella"/>
    <w:basedOn w:val="Contenutotabella"/>
    <w:qFormat/>
    <w:rsid w:val="00021f10"/>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rsid w:val="00ca6b8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2A80-BF64-4EAA-A5CF-A60E21FE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Application>LibreOffice/7.3.1.3$Windows_X86_64 LibreOffice_project/a69ca51ded25f3eefd52d7bf9a5fad8c90b87951</Application>
  <AppVersion>15.0000</AppVersion>
  <DocSecurity>0</DocSecurity>
  <Pages>19</Pages>
  <Words>755</Words>
  <Characters>4418</Characters>
  <CharactersWithSpaces>5000</CharactersWithSpaces>
  <Paragraphs>189</Paragraphs>
  <Company>Ancona Promuove-Promadria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2022-04-22T10:18:00Z</dcterms:created>
  <dc:creator>Milena Storari</dc:creator>
  <dc:description/>
  <dc:language>it-IT</dc:language>
  <cp:lastModifiedBy>Giovanna Carloni</cp:lastModifiedBy>
  <cp:lastPrinted>2022-09-05T06:54:00Z</cp:lastPrinted>
  <dcterms:modified xsi:type="dcterms:W3CDTF">2022-09-05T10:33:00Z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